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9062B"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Brandon A. Sibley</w:t>
      </w:r>
    </w:p>
    <w:p w14:paraId="6ADE60E2"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17517 Cline Drive</w:t>
      </w:r>
    </w:p>
    <w:p w14:paraId="70379FF5"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Maurepas, LA 70449</w:t>
      </w:r>
    </w:p>
    <w:p w14:paraId="21005C89"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(225) 369-7806</w:t>
      </w:r>
    </w:p>
    <w:p w14:paraId="25EAC837"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3B0FB4A8" w14:textId="77777777" w:rsidR="00C17A62" w:rsidRPr="0052638D" w:rsidRDefault="00C17A62" w:rsidP="00C17A62">
      <w:pPr>
        <w:spacing w:after="0" w:line="240" w:lineRule="auto"/>
        <w:contextualSpacing/>
        <w:rPr>
          <w:rFonts w:ascii="Times New Roman" w:hAnsi="Times New Roman" w:cs="Times New Roman"/>
          <w:sz w:val="16"/>
          <w:szCs w:val="16"/>
        </w:rPr>
      </w:pPr>
    </w:p>
    <w:p w14:paraId="6492603B"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Howard G. Brown</w:t>
      </w:r>
    </w:p>
    <w:p w14:paraId="5E82910C"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1344 Lakeridge Drive</w:t>
      </w:r>
    </w:p>
    <w:p w14:paraId="52035C7D"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Baton Rouge, LA 70802</w:t>
      </w:r>
    </w:p>
    <w:p w14:paraId="66000D29"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(504) 756-1987</w:t>
      </w:r>
    </w:p>
    <w:p w14:paraId="2B05D15C"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193D8CBE" w14:textId="77777777" w:rsidR="00C17A62" w:rsidRPr="0052638D" w:rsidRDefault="00C17A62" w:rsidP="00C17A62">
      <w:pPr>
        <w:spacing w:line="240" w:lineRule="auto"/>
        <w:rPr>
          <w:rFonts w:ascii="Times New Roman" w:hAnsi="Times New Roman" w:cs="Times New Roman"/>
          <w:b/>
          <w:bCs/>
          <w:sz w:val="24"/>
          <w:szCs w:val="24"/>
        </w:rPr>
      </w:pPr>
    </w:p>
    <w:p w14:paraId="694D1216" w14:textId="77777777" w:rsidR="00C17A62" w:rsidRPr="0052638D" w:rsidRDefault="00C17A62" w:rsidP="00C17A62">
      <w:pPr>
        <w:spacing w:line="240" w:lineRule="auto"/>
        <w:jc w:val="center"/>
        <w:rPr>
          <w:rFonts w:ascii="Times New Roman" w:hAnsi="Times New Roman" w:cs="Times New Roman"/>
          <w:b/>
          <w:bCs/>
          <w:sz w:val="28"/>
          <w:szCs w:val="28"/>
        </w:rPr>
      </w:pPr>
      <w:r w:rsidRPr="0052638D">
        <w:rPr>
          <w:rFonts w:ascii="Times New Roman" w:hAnsi="Times New Roman" w:cs="Times New Roman"/>
          <w:b/>
          <w:bCs/>
          <w:sz w:val="28"/>
          <w:szCs w:val="28"/>
        </w:rPr>
        <w:t>IN THE UNITED STATES DISTRICT COURT FOR THE SOUTHERN DISTRICT OF MISSISSIPPI (Northern Jackson)</w:t>
      </w:r>
    </w:p>
    <w:p w14:paraId="4CBBD79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HOWARD BROWN,</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5D4BAB61"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BRANDON SIBLEY,</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AFA800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Plaintiffs,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70F6E6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V.</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t>Case No. 3:22-cv-00256-DPJ-FKB</w:t>
      </w:r>
    </w:p>
    <w:p w14:paraId="660C4787"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 xml:space="preserve">CHOCTAW RESORT </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Pr>
          <w:rFonts w:ascii="Times New Roman" w:hAnsi="Times New Roman" w:cs="Times New Roman"/>
          <w:b/>
          <w:bCs/>
          <w:sz w:val="28"/>
          <w:szCs w:val="28"/>
        </w:rPr>
        <w:t xml:space="preserve">          )</w:t>
      </w:r>
    </w:p>
    <w:p w14:paraId="0020F085"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DEVOLPMENT ENTERPRISE,</w:t>
      </w:r>
      <w:r w:rsidRPr="0052638D">
        <w:rPr>
          <w:rFonts w:ascii="Times New Roman" w:hAnsi="Times New Roman" w:cs="Times New Roman"/>
          <w:b/>
          <w:bCs/>
          <w:sz w:val="28"/>
          <w:szCs w:val="28"/>
        </w:rPr>
        <w:tab/>
        <w:t>)</w:t>
      </w:r>
    </w:p>
    <w:p w14:paraId="52C50D88" w14:textId="77777777" w:rsidR="00437C1F"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ET AL.,</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0AB7D611" w14:textId="030E32F2"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Defendants.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499C030C" w14:textId="77777777" w:rsidR="00C17A62" w:rsidRPr="0052638D" w:rsidRDefault="00C17A62" w:rsidP="00C17A62">
      <w:pPr>
        <w:spacing w:after="0" w:line="240" w:lineRule="auto"/>
        <w:rPr>
          <w:rFonts w:ascii="Times New Roman" w:hAnsi="Times New Roman" w:cs="Times New Roman"/>
          <w:b/>
          <w:bCs/>
          <w:sz w:val="28"/>
          <w:szCs w:val="28"/>
          <w:u w:val="single"/>
        </w:rPr>
      </w:pPr>
    </w:p>
    <w:p w14:paraId="012DC669" w14:textId="5F12514D" w:rsidR="00C17A62" w:rsidRDefault="00C17A62" w:rsidP="00C17A62">
      <w:pPr>
        <w:spacing w:line="240" w:lineRule="auto"/>
        <w:jc w:val="center"/>
        <w:rPr>
          <w:rFonts w:ascii="Times New Roman" w:hAnsi="Times New Roman" w:cs="Times New Roman"/>
          <w:b/>
          <w:bCs/>
          <w:sz w:val="28"/>
          <w:szCs w:val="28"/>
          <w:u w:val="single"/>
        </w:rPr>
      </w:pPr>
      <w:r w:rsidRPr="0052638D">
        <w:rPr>
          <w:rFonts w:ascii="Times New Roman" w:hAnsi="Times New Roman" w:cs="Times New Roman"/>
          <w:b/>
          <w:bCs/>
          <w:sz w:val="28"/>
          <w:szCs w:val="28"/>
          <w:u w:val="single"/>
        </w:rPr>
        <w:t xml:space="preserve">MOTION </w:t>
      </w:r>
      <w:r w:rsidR="000450BB">
        <w:rPr>
          <w:rFonts w:ascii="Times New Roman" w:hAnsi="Times New Roman" w:cs="Times New Roman"/>
          <w:b/>
          <w:bCs/>
          <w:sz w:val="28"/>
          <w:szCs w:val="28"/>
          <w:u w:val="single"/>
        </w:rPr>
        <w:t>FOR PARTIAL SUMMARY JUDGMENT</w:t>
      </w:r>
    </w:p>
    <w:p w14:paraId="6F76B5B2" w14:textId="77777777" w:rsidR="00450B19" w:rsidRDefault="00450B19" w:rsidP="00C17A62">
      <w:pPr>
        <w:spacing w:line="240" w:lineRule="auto"/>
        <w:jc w:val="center"/>
        <w:rPr>
          <w:rFonts w:ascii="Times New Roman" w:hAnsi="Times New Roman" w:cs="Times New Roman"/>
          <w:b/>
          <w:bCs/>
          <w:sz w:val="28"/>
          <w:szCs w:val="28"/>
          <w:u w:val="single"/>
        </w:rPr>
      </w:pPr>
    </w:p>
    <w:p w14:paraId="54215347" w14:textId="71EFDD0C" w:rsidR="00C17A62" w:rsidRPr="0052638D" w:rsidRDefault="000073EE" w:rsidP="00630112">
      <w:pPr>
        <w:spacing w:line="480" w:lineRule="auto"/>
        <w:rPr>
          <w:rFonts w:ascii="Times New Roman" w:hAnsi="Times New Roman" w:cs="Times New Roman"/>
          <w:b/>
          <w:bCs/>
          <w:sz w:val="24"/>
          <w:szCs w:val="24"/>
          <w:u w:val="single"/>
        </w:rPr>
      </w:pPr>
      <w:r>
        <w:rPr>
          <w:rFonts w:ascii="Times New Roman" w:hAnsi="Times New Roman" w:cs="Times New Roman"/>
          <w:sz w:val="24"/>
          <w:szCs w:val="24"/>
        </w:rPr>
        <w:tab/>
      </w:r>
      <w:r w:rsidR="00C17A62" w:rsidRPr="00450B19">
        <w:rPr>
          <w:rFonts w:ascii="Times New Roman" w:hAnsi="Times New Roman" w:cs="Times New Roman"/>
          <w:b/>
          <w:bCs/>
          <w:sz w:val="24"/>
          <w:szCs w:val="24"/>
        </w:rPr>
        <w:t>COMES NOW</w:t>
      </w:r>
      <w:r w:rsidR="00450B19">
        <w:rPr>
          <w:rFonts w:ascii="Times New Roman" w:hAnsi="Times New Roman" w:cs="Times New Roman"/>
          <w:sz w:val="24"/>
          <w:szCs w:val="24"/>
        </w:rPr>
        <w:t>,</w:t>
      </w:r>
      <w:r w:rsidR="00C17A62">
        <w:rPr>
          <w:rFonts w:ascii="Times New Roman" w:hAnsi="Times New Roman" w:cs="Times New Roman"/>
          <w:sz w:val="24"/>
          <w:szCs w:val="24"/>
        </w:rPr>
        <w:t xml:space="preserve"> Plaintif</w:t>
      </w:r>
      <w:r w:rsidR="006B1E99">
        <w:rPr>
          <w:rFonts w:ascii="Times New Roman" w:hAnsi="Times New Roman" w:cs="Times New Roman"/>
          <w:sz w:val="24"/>
          <w:szCs w:val="24"/>
        </w:rPr>
        <w:t xml:space="preserve">fs, </w:t>
      </w:r>
      <w:r w:rsidR="00450B19">
        <w:rPr>
          <w:rFonts w:ascii="Times New Roman" w:hAnsi="Times New Roman" w:cs="Times New Roman"/>
          <w:sz w:val="24"/>
          <w:szCs w:val="24"/>
        </w:rPr>
        <w:t>Howard Brown</w:t>
      </w:r>
      <w:r w:rsidR="00C17A62">
        <w:rPr>
          <w:rFonts w:ascii="Times New Roman" w:hAnsi="Times New Roman" w:cs="Times New Roman"/>
          <w:sz w:val="24"/>
          <w:szCs w:val="24"/>
        </w:rPr>
        <w:t xml:space="preserve"> </w:t>
      </w:r>
      <w:r w:rsidR="006B1E99">
        <w:rPr>
          <w:rFonts w:ascii="Times New Roman" w:hAnsi="Times New Roman" w:cs="Times New Roman"/>
          <w:sz w:val="24"/>
          <w:szCs w:val="24"/>
        </w:rPr>
        <w:t xml:space="preserve">and Brandon Sibley </w:t>
      </w:r>
      <w:r w:rsidR="00C17A62">
        <w:rPr>
          <w:rFonts w:ascii="Times New Roman" w:hAnsi="Times New Roman" w:cs="Times New Roman"/>
          <w:sz w:val="24"/>
          <w:szCs w:val="24"/>
        </w:rPr>
        <w:t>(“Plaintiff</w:t>
      </w:r>
      <w:r w:rsidR="006B1E99">
        <w:rPr>
          <w:rFonts w:ascii="Times New Roman" w:hAnsi="Times New Roman" w:cs="Times New Roman"/>
          <w:sz w:val="24"/>
          <w:szCs w:val="24"/>
        </w:rPr>
        <w:t>,</w:t>
      </w:r>
      <w:r w:rsidR="00C17A62">
        <w:rPr>
          <w:rFonts w:ascii="Times New Roman" w:hAnsi="Times New Roman" w:cs="Times New Roman"/>
          <w:sz w:val="24"/>
          <w:szCs w:val="24"/>
        </w:rPr>
        <w:t xml:space="preserve"> </w:t>
      </w:r>
      <w:r w:rsidR="00450B19">
        <w:rPr>
          <w:rFonts w:ascii="Times New Roman" w:hAnsi="Times New Roman" w:cs="Times New Roman"/>
          <w:sz w:val="24"/>
          <w:szCs w:val="24"/>
        </w:rPr>
        <w:t>Brown</w:t>
      </w:r>
      <w:r w:rsidR="006B1E99">
        <w:rPr>
          <w:rFonts w:ascii="Times New Roman" w:hAnsi="Times New Roman" w:cs="Times New Roman"/>
          <w:sz w:val="24"/>
          <w:szCs w:val="24"/>
        </w:rPr>
        <w:t>, or Sibley</w:t>
      </w:r>
      <w:r w:rsidR="00C17A62">
        <w:rPr>
          <w:rFonts w:ascii="Times New Roman" w:hAnsi="Times New Roman" w:cs="Times New Roman"/>
          <w:sz w:val="24"/>
          <w:szCs w:val="24"/>
        </w:rPr>
        <w:t xml:space="preserve">”), to move this Honorable Court pursuant </w:t>
      </w:r>
      <w:r w:rsidR="006B1E99">
        <w:rPr>
          <w:rFonts w:ascii="Times New Roman" w:hAnsi="Times New Roman" w:cs="Times New Roman"/>
          <w:sz w:val="24"/>
          <w:szCs w:val="24"/>
        </w:rPr>
        <w:t>to</w:t>
      </w:r>
      <w:r w:rsidR="00C17A62">
        <w:rPr>
          <w:rFonts w:ascii="Times New Roman" w:hAnsi="Times New Roman" w:cs="Times New Roman"/>
          <w:sz w:val="24"/>
          <w:szCs w:val="24"/>
        </w:rPr>
        <w:t xml:space="preserve"> </w:t>
      </w:r>
      <w:r w:rsidR="00C17A62" w:rsidRPr="00F32EAF">
        <w:rPr>
          <w:rFonts w:ascii="Times New Roman" w:hAnsi="Times New Roman" w:cs="Times New Roman"/>
          <w:b/>
          <w:bCs/>
          <w:sz w:val="24"/>
          <w:szCs w:val="24"/>
        </w:rPr>
        <w:t>FRCP</w:t>
      </w:r>
      <w:r w:rsidR="00C17A62">
        <w:rPr>
          <w:rFonts w:ascii="Times New Roman" w:hAnsi="Times New Roman" w:cs="Times New Roman"/>
          <w:sz w:val="24"/>
          <w:szCs w:val="24"/>
        </w:rPr>
        <w:t xml:space="preserve"> </w:t>
      </w:r>
      <w:r w:rsidR="006B1E99">
        <w:rPr>
          <w:rFonts w:ascii="Times New Roman" w:hAnsi="Times New Roman" w:cs="Times New Roman"/>
          <w:sz w:val="24"/>
          <w:szCs w:val="24"/>
        </w:rPr>
        <w:t xml:space="preserve">Rule 56 </w:t>
      </w:r>
      <w:r w:rsidR="00C17A62">
        <w:rPr>
          <w:rFonts w:ascii="Times New Roman" w:hAnsi="Times New Roman" w:cs="Times New Roman"/>
          <w:sz w:val="24"/>
          <w:szCs w:val="24"/>
        </w:rPr>
        <w:t>for a</w:t>
      </w:r>
      <w:r w:rsidR="006B1E99">
        <w:rPr>
          <w:rFonts w:ascii="Times New Roman" w:hAnsi="Times New Roman" w:cs="Times New Roman"/>
          <w:sz w:val="24"/>
          <w:szCs w:val="24"/>
        </w:rPr>
        <w:t xml:space="preserve"> Partial Summary Judgment</w:t>
      </w:r>
      <w:r w:rsidR="001C7C27">
        <w:rPr>
          <w:rFonts w:ascii="Times New Roman" w:hAnsi="Times New Roman" w:cs="Times New Roman"/>
          <w:sz w:val="24"/>
          <w:szCs w:val="24"/>
        </w:rPr>
        <w:t xml:space="preserve"> in reference to Ordinance 2020-06-B failing the Constitutional Scrutiny Test and the five (5) Federal Questions. </w:t>
      </w:r>
    </w:p>
    <w:p w14:paraId="0996CFA0" w14:textId="3B3F1290" w:rsidR="009B2ED8" w:rsidRDefault="00C17A62" w:rsidP="009B2ED8">
      <w:pPr>
        <w:pStyle w:val="ListParagraph"/>
        <w:numPr>
          <w:ilvl w:val="0"/>
          <w:numId w:val="1"/>
        </w:numPr>
        <w:spacing w:line="240" w:lineRule="auto"/>
        <w:jc w:val="center"/>
        <w:rPr>
          <w:rFonts w:ascii="Times New Roman" w:hAnsi="Times New Roman" w:cs="Times New Roman"/>
          <w:b/>
          <w:bCs/>
          <w:sz w:val="28"/>
          <w:szCs w:val="28"/>
          <w:u w:val="single"/>
        </w:rPr>
      </w:pPr>
      <w:r w:rsidRPr="0052638D">
        <w:rPr>
          <w:rFonts w:ascii="Times New Roman" w:hAnsi="Times New Roman" w:cs="Times New Roman"/>
          <w:b/>
          <w:bCs/>
          <w:sz w:val="28"/>
          <w:szCs w:val="28"/>
          <w:u w:val="single"/>
        </w:rPr>
        <w:t>INTRODUCTION</w:t>
      </w:r>
    </w:p>
    <w:p w14:paraId="7DB7E2DE" w14:textId="77777777" w:rsidR="00450B19" w:rsidRDefault="00450B19" w:rsidP="00450B19">
      <w:pPr>
        <w:pStyle w:val="ListParagraph"/>
        <w:spacing w:line="240" w:lineRule="auto"/>
        <w:rPr>
          <w:rFonts w:ascii="Times New Roman" w:hAnsi="Times New Roman" w:cs="Times New Roman"/>
          <w:b/>
          <w:bCs/>
          <w:sz w:val="28"/>
          <w:szCs w:val="28"/>
          <w:u w:val="single"/>
        </w:rPr>
      </w:pPr>
    </w:p>
    <w:p w14:paraId="64607DDA" w14:textId="394B5772" w:rsidR="00630112" w:rsidRPr="00F503E5" w:rsidRDefault="00F95BC8" w:rsidP="00775F20">
      <w:pPr>
        <w:pStyle w:val="ListParagraph"/>
        <w:spacing w:line="480" w:lineRule="auto"/>
        <w:ind w:left="0" w:firstLine="720"/>
        <w:rPr>
          <w:rFonts w:ascii="Times New Roman" w:hAnsi="Times New Roman" w:cs="Times New Roman"/>
          <w:i/>
          <w:iCs/>
          <w:sz w:val="24"/>
          <w:szCs w:val="24"/>
        </w:rPr>
      </w:pPr>
      <w:r>
        <w:rPr>
          <w:rFonts w:ascii="Times New Roman" w:hAnsi="Times New Roman" w:cs="Times New Roman"/>
          <w:sz w:val="24"/>
          <w:szCs w:val="24"/>
        </w:rPr>
        <w:t xml:space="preserve">Plaintiffs contend that Ordinance 2020-06-B </w:t>
      </w:r>
      <w:r w:rsidRPr="00FF5469">
        <w:rPr>
          <w:rFonts w:ascii="Times New Roman" w:hAnsi="Times New Roman" w:cs="Times New Roman"/>
          <w:sz w:val="24"/>
          <w:szCs w:val="24"/>
          <w:u w:val="single"/>
        </w:rPr>
        <w:t>IS</w:t>
      </w:r>
      <w:r>
        <w:rPr>
          <w:rFonts w:ascii="Times New Roman" w:hAnsi="Times New Roman" w:cs="Times New Roman"/>
          <w:sz w:val="24"/>
          <w:szCs w:val="24"/>
        </w:rPr>
        <w:t xml:space="preserve"> the causation of this current action and the</w:t>
      </w:r>
      <w:r w:rsidR="00E528E7">
        <w:rPr>
          <w:rFonts w:ascii="Times New Roman" w:hAnsi="Times New Roman" w:cs="Times New Roman"/>
          <w:sz w:val="24"/>
          <w:szCs w:val="24"/>
        </w:rPr>
        <w:t xml:space="preserve"> Federal Questions </w:t>
      </w:r>
      <w:r w:rsidR="00775F20">
        <w:rPr>
          <w:rFonts w:ascii="Times New Roman" w:hAnsi="Times New Roman" w:cs="Times New Roman"/>
          <w:sz w:val="24"/>
          <w:szCs w:val="24"/>
        </w:rPr>
        <w:t>along with the</w:t>
      </w:r>
      <w:r w:rsidR="00E528E7">
        <w:rPr>
          <w:rFonts w:ascii="Times New Roman" w:hAnsi="Times New Roman" w:cs="Times New Roman"/>
          <w:sz w:val="24"/>
          <w:szCs w:val="24"/>
        </w:rPr>
        <w:t xml:space="preserve"> Strict Scrutiny Rule that were plead in Plaintiffs’ original complaint (Doc. #1) were laid out in great detail and have yet to even be mentioned by Counsel, much less addressed in an</w:t>
      </w:r>
      <w:r w:rsidR="006A2180">
        <w:rPr>
          <w:rFonts w:ascii="Times New Roman" w:hAnsi="Times New Roman" w:cs="Times New Roman"/>
          <w:sz w:val="24"/>
          <w:szCs w:val="24"/>
        </w:rPr>
        <w:t>y</w:t>
      </w:r>
      <w:r w:rsidR="00E528E7">
        <w:rPr>
          <w:rFonts w:ascii="Times New Roman" w:hAnsi="Times New Roman" w:cs="Times New Roman"/>
          <w:sz w:val="24"/>
          <w:szCs w:val="24"/>
        </w:rPr>
        <w:t xml:space="preserve"> substantive </w:t>
      </w:r>
      <w:r w:rsidR="006A2180">
        <w:rPr>
          <w:rFonts w:ascii="Times New Roman" w:hAnsi="Times New Roman" w:cs="Times New Roman"/>
          <w:sz w:val="24"/>
          <w:szCs w:val="24"/>
        </w:rPr>
        <w:t>way</w:t>
      </w:r>
      <w:r w:rsidR="00FF5469">
        <w:rPr>
          <w:rFonts w:ascii="Times New Roman" w:hAnsi="Times New Roman" w:cs="Times New Roman"/>
          <w:sz w:val="24"/>
          <w:szCs w:val="24"/>
        </w:rPr>
        <w:t>, d</w:t>
      </w:r>
      <w:r w:rsidR="00E528E7">
        <w:rPr>
          <w:rFonts w:ascii="Times New Roman" w:hAnsi="Times New Roman" w:cs="Times New Roman"/>
          <w:sz w:val="24"/>
          <w:szCs w:val="24"/>
        </w:rPr>
        <w:t xml:space="preserve">espite hundreds of pages of replies and </w:t>
      </w:r>
      <w:r w:rsidR="006A2180">
        <w:rPr>
          <w:rFonts w:ascii="Times New Roman" w:hAnsi="Times New Roman" w:cs="Times New Roman"/>
          <w:sz w:val="24"/>
          <w:szCs w:val="24"/>
        </w:rPr>
        <w:t xml:space="preserve">a </w:t>
      </w:r>
      <w:r w:rsidR="00E528E7">
        <w:rPr>
          <w:rFonts w:ascii="Times New Roman" w:hAnsi="Times New Roman" w:cs="Times New Roman"/>
          <w:sz w:val="24"/>
          <w:szCs w:val="24"/>
        </w:rPr>
        <w:t>specific Motion to Show Cause for Ordinance 2020-06-B (Doc. 20)</w:t>
      </w:r>
      <w:r w:rsidR="006A2180">
        <w:rPr>
          <w:rFonts w:ascii="Times New Roman" w:hAnsi="Times New Roman" w:cs="Times New Roman"/>
          <w:sz w:val="24"/>
          <w:szCs w:val="24"/>
        </w:rPr>
        <w:t xml:space="preserve">. </w:t>
      </w:r>
      <w:r>
        <w:rPr>
          <w:rFonts w:ascii="Times New Roman" w:hAnsi="Times New Roman" w:cs="Times New Roman"/>
          <w:sz w:val="24"/>
          <w:szCs w:val="24"/>
        </w:rPr>
        <w:t xml:space="preserve">Counsel used </w:t>
      </w:r>
      <w:r w:rsidR="00775F20">
        <w:rPr>
          <w:rFonts w:ascii="Times New Roman" w:hAnsi="Times New Roman" w:cs="Times New Roman"/>
          <w:sz w:val="24"/>
          <w:szCs w:val="24"/>
        </w:rPr>
        <w:t xml:space="preserve">his response to </w:t>
      </w:r>
      <w:r w:rsidR="00775F20">
        <w:rPr>
          <w:rFonts w:ascii="Times New Roman" w:hAnsi="Times New Roman" w:cs="Times New Roman"/>
          <w:sz w:val="24"/>
          <w:szCs w:val="24"/>
        </w:rPr>
        <w:lastRenderedPageBreak/>
        <w:t xml:space="preserve">Plaintiffs’ Motion (Doc. 20) to launch </w:t>
      </w:r>
      <w:r>
        <w:rPr>
          <w:rFonts w:ascii="Times New Roman" w:hAnsi="Times New Roman" w:cs="Times New Roman"/>
          <w:sz w:val="24"/>
          <w:szCs w:val="24"/>
        </w:rPr>
        <w:t xml:space="preserve">ad hominem attacks </w:t>
      </w:r>
      <w:r w:rsidR="00775F20">
        <w:rPr>
          <w:rFonts w:ascii="Times New Roman" w:hAnsi="Times New Roman" w:cs="Times New Roman"/>
          <w:sz w:val="24"/>
          <w:szCs w:val="24"/>
        </w:rPr>
        <w:t>against Plaintiffs</w:t>
      </w:r>
      <w:r>
        <w:rPr>
          <w:rFonts w:ascii="Times New Roman" w:hAnsi="Times New Roman" w:cs="Times New Roman"/>
          <w:sz w:val="24"/>
          <w:szCs w:val="24"/>
        </w:rPr>
        <w:t xml:space="preserve"> which is insufficient for the purposes of this court. </w:t>
      </w:r>
    </w:p>
    <w:p w14:paraId="739B4E5A" w14:textId="36DA680F" w:rsidR="00F22F13" w:rsidRDefault="00F22F13" w:rsidP="00586A0E">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ab/>
      </w:r>
    </w:p>
    <w:p w14:paraId="73D6D632" w14:textId="6267AB2C" w:rsidR="00F503E5" w:rsidRPr="00F503E5" w:rsidRDefault="00F503E5" w:rsidP="00F503E5">
      <w:pPr>
        <w:pStyle w:val="ListParagraph"/>
        <w:numPr>
          <w:ilvl w:val="0"/>
          <w:numId w:val="1"/>
        </w:numPr>
        <w:spacing w:line="240" w:lineRule="auto"/>
        <w:jc w:val="center"/>
        <w:rPr>
          <w:rFonts w:ascii="Times New Roman" w:hAnsi="Times New Roman" w:cs="Times New Roman"/>
          <w:b/>
          <w:bCs/>
          <w:sz w:val="28"/>
          <w:szCs w:val="28"/>
        </w:rPr>
      </w:pPr>
      <w:r w:rsidRPr="00F503E5">
        <w:rPr>
          <w:rFonts w:ascii="Times New Roman" w:hAnsi="Times New Roman" w:cs="Times New Roman"/>
          <w:b/>
          <w:bCs/>
          <w:sz w:val="28"/>
          <w:szCs w:val="28"/>
          <w:u w:val="single"/>
        </w:rPr>
        <w:t>ORDINANCE 2020-06-B JUDICIAL REVIEW</w:t>
      </w:r>
      <w:r>
        <w:rPr>
          <w:rFonts w:ascii="Times New Roman" w:hAnsi="Times New Roman" w:cs="Times New Roman"/>
          <w:b/>
          <w:bCs/>
          <w:sz w:val="28"/>
          <w:szCs w:val="28"/>
          <w:u w:val="single"/>
        </w:rPr>
        <w:t xml:space="preserve"> &amp; </w:t>
      </w:r>
      <w:r w:rsidRPr="00F503E5">
        <w:rPr>
          <w:rFonts w:ascii="Times New Roman" w:hAnsi="Times New Roman" w:cs="Times New Roman"/>
          <w:b/>
          <w:bCs/>
          <w:sz w:val="28"/>
          <w:szCs w:val="28"/>
          <w:u w:val="single"/>
        </w:rPr>
        <w:t>STRICT SCRUTINY</w:t>
      </w:r>
    </w:p>
    <w:p w14:paraId="3E1E995E" w14:textId="3FDBCCA1" w:rsidR="00F503E5" w:rsidRDefault="00F503E5" w:rsidP="00F503E5">
      <w:pPr>
        <w:pStyle w:val="ListParagraph"/>
        <w:spacing w:line="240" w:lineRule="auto"/>
        <w:rPr>
          <w:rFonts w:ascii="Times New Roman" w:hAnsi="Times New Roman" w:cs="Times New Roman"/>
          <w:b/>
          <w:bCs/>
          <w:sz w:val="28"/>
          <w:szCs w:val="28"/>
        </w:rPr>
      </w:pPr>
    </w:p>
    <w:p w14:paraId="1F5D17FF" w14:textId="713E6FC1" w:rsidR="00F503E5" w:rsidRDefault="00F503E5" w:rsidP="00554E93">
      <w:pPr>
        <w:pStyle w:val="ListParagraph"/>
        <w:numPr>
          <w:ilvl w:val="0"/>
          <w:numId w:val="2"/>
        </w:numPr>
        <w:spacing w:line="480" w:lineRule="auto"/>
        <w:rPr>
          <w:rFonts w:ascii="Times New Roman" w:hAnsi="Times New Roman" w:cs="Times New Roman"/>
          <w:sz w:val="24"/>
          <w:szCs w:val="24"/>
        </w:rPr>
      </w:pPr>
      <w:r w:rsidRPr="00F503E5">
        <w:rPr>
          <w:rFonts w:ascii="Times New Roman" w:hAnsi="Times New Roman" w:cs="Times New Roman"/>
          <w:sz w:val="24"/>
          <w:szCs w:val="24"/>
        </w:rPr>
        <w:t>Mississippi Band of Choctaw Indians, by and through their tribal council and Chief Cyrus Ben, enact</w:t>
      </w:r>
      <w:r w:rsidR="001D2FF1">
        <w:rPr>
          <w:rFonts w:ascii="Times New Roman" w:hAnsi="Times New Roman" w:cs="Times New Roman"/>
          <w:sz w:val="24"/>
          <w:szCs w:val="24"/>
        </w:rPr>
        <w:t>ed</w:t>
      </w:r>
      <w:r w:rsidRPr="00F503E5">
        <w:rPr>
          <w:rFonts w:ascii="Times New Roman" w:hAnsi="Times New Roman" w:cs="Times New Roman"/>
          <w:sz w:val="24"/>
          <w:szCs w:val="24"/>
        </w:rPr>
        <w:t xml:space="preserve"> ordinance 2020-06-B, in violation of Title 25 § 1302; constitutional rights of Indians.</w:t>
      </w:r>
    </w:p>
    <w:p w14:paraId="035241DE" w14:textId="459256B4" w:rsidR="009E3B8C" w:rsidRDefault="009E3B8C"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“Coverings may be fashioned from scarves, bandanas, or other suitable fabrics”, is language so ambiguous and vague that no reasonable man or woman can derive from it, a sense of medical safety.</w:t>
      </w:r>
    </w:p>
    <w:p w14:paraId="40EB5208" w14:textId="2C48B842" w:rsidR="002A0638" w:rsidRPr="00F503E5" w:rsidRDefault="002A0638" w:rsidP="00554E93">
      <w:pPr>
        <w:pStyle w:val="ListParagraph"/>
        <w:numPr>
          <w:ilvl w:val="0"/>
          <w:numId w:val="2"/>
        </w:numPr>
        <w:spacing w:line="480" w:lineRule="auto"/>
        <w:rPr>
          <w:rFonts w:ascii="Times New Roman" w:hAnsi="Times New Roman" w:cs="Times New Roman"/>
          <w:sz w:val="24"/>
          <w:szCs w:val="24"/>
        </w:rPr>
      </w:pPr>
      <w:r w:rsidRPr="002A0638">
        <w:rPr>
          <w:rFonts w:ascii="Times New Roman" w:hAnsi="Times New Roman" w:cs="Times New Roman"/>
          <w:sz w:val="24"/>
          <w:szCs w:val="24"/>
        </w:rPr>
        <w:t xml:space="preserve">“The Ordinance (2020-06-B) therefore does not “define” the area of illegal conduct with sufficient specificity, so that men of common intelligence (need not) guess at its meaning” </w:t>
      </w:r>
      <w:r w:rsidRPr="002A0638">
        <w:rPr>
          <w:rFonts w:ascii="Times New Roman" w:hAnsi="Times New Roman" w:cs="Times New Roman"/>
          <w:i/>
          <w:iCs/>
          <w:sz w:val="24"/>
          <w:szCs w:val="24"/>
        </w:rPr>
        <w:t>Hiett v. United States, 415 F.2d 664, 670 (5th Cir. 1969)</w:t>
      </w:r>
    </w:p>
    <w:p w14:paraId="516E5080" w14:textId="703A6FB5" w:rsidR="00F503E5" w:rsidRPr="00F503E5" w:rsidRDefault="00F503E5" w:rsidP="00554E93">
      <w:pPr>
        <w:pStyle w:val="ListParagraph"/>
        <w:numPr>
          <w:ilvl w:val="0"/>
          <w:numId w:val="2"/>
        </w:numPr>
        <w:spacing w:line="480" w:lineRule="auto"/>
        <w:rPr>
          <w:rFonts w:ascii="Times New Roman" w:hAnsi="Times New Roman" w:cs="Times New Roman"/>
          <w:sz w:val="24"/>
          <w:szCs w:val="24"/>
        </w:rPr>
      </w:pPr>
      <w:r w:rsidRPr="00F503E5">
        <w:rPr>
          <w:rFonts w:ascii="Times New Roman" w:hAnsi="Times New Roman" w:cs="Times New Roman"/>
          <w:sz w:val="24"/>
          <w:szCs w:val="24"/>
        </w:rPr>
        <w:t xml:space="preserve">Ordinance 2020-06-B is </w:t>
      </w:r>
      <w:r w:rsidR="009E3B8C">
        <w:rPr>
          <w:rFonts w:ascii="Times New Roman" w:hAnsi="Times New Roman" w:cs="Times New Roman"/>
          <w:sz w:val="24"/>
          <w:szCs w:val="24"/>
        </w:rPr>
        <w:t xml:space="preserve">therefore </w:t>
      </w:r>
      <w:r w:rsidRPr="00F503E5">
        <w:rPr>
          <w:rFonts w:ascii="Times New Roman" w:hAnsi="Times New Roman" w:cs="Times New Roman"/>
          <w:sz w:val="24"/>
          <w:szCs w:val="24"/>
        </w:rPr>
        <w:t>unconstitutional on its face and</w:t>
      </w:r>
      <w:r w:rsidR="001D2FF1">
        <w:rPr>
          <w:rFonts w:ascii="Times New Roman" w:hAnsi="Times New Roman" w:cs="Times New Roman"/>
          <w:sz w:val="24"/>
          <w:szCs w:val="24"/>
        </w:rPr>
        <w:t xml:space="preserve"> as applied to non-tribe members and tribe members,</w:t>
      </w:r>
      <w:r w:rsidRPr="00F503E5">
        <w:rPr>
          <w:rFonts w:ascii="Times New Roman" w:hAnsi="Times New Roman" w:cs="Times New Roman"/>
          <w:sz w:val="24"/>
          <w:szCs w:val="24"/>
        </w:rPr>
        <w:t xml:space="preserve"> constitutes a deprivation of rights </w:t>
      </w:r>
      <w:r w:rsidR="00277DFB">
        <w:rPr>
          <w:rFonts w:ascii="Times New Roman" w:hAnsi="Times New Roman" w:cs="Times New Roman"/>
          <w:sz w:val="24"/>
          <w:szCs w:val="24"/>
        </w:rPr>
        <w:t xml:space="preserve">as </w:t>
      </w:r>
      <w:r w:rsidRPr="00F503E5">
        <w:rPr>
          <w:rFonts w:ascii="Times New Roman" w:hAnsi="Times New Roman" w:cs="Times New Roman"/>
          <w:sz w:val="24"/>
          <w:szCs w:val="24"/>
        </w:rPr>
        <w:t>secured by the Constitution of the United States</w:t>
      </w:r>
      <w:r w:rsidR="001D2FF1">
        <w:rPr>
          <w:rFonts w:ascii="Times New Roman" w:hAnsi="Times New Roman" w:cs="Times New Roman"/>
          <w:sz w:val="24"/>
          <w:szCs w:val="24"/>
        </w:rPr>
        <w:t>, and is a violation of the Civil Rights of Indian members.</w:t>
      </w:r>
      <w:r w:rsidRPr="00F503E5">
        <w:rPr>
          <w:rFonts w:ascii="Times New Roman" w:hAnsi="Times New Roman" w:cs="Times New Roman"/>
          <w:sz w:val="24"/>
          <w:szCs w:val="24"/>
        </w:rPr>
        <w:t xml:space="preserve"> </w:t>
      </w:r>
    </w:p>
    <w:p w14:paraId="59003AE1" w14:textId="529D80F5" w:rsidR="001D2FF1" w:rsidRPr="001D2FF1" w:rsidRDefault="001D2FF1" w:rsidP="00554E93">
      <w:pPr>
        <w:pStyle w:val="ListParagraph"/>
        <w:numPr>
          <w:ilvl w:val="0"/>
          <w:numId w:val="2"/>
        </w:numPr>
        <w:spacing w:line="480" w:lineRule="auto"/>
        <w:rPr>
          <w:rFonts w:ascii="Times New Roman" w:hAnsi="Times New Roman" w:cs="Times New Roman"/>
          <w:sz w:val="24"/>
          <w:szCs w:val="24"/>
        </w:rPr>
      </w:pPr>
      <w:r w:rsidRPr="001D2FF1">
        <w:rPr>
          <w:rFonts w:ascii="Times New Roman" w:hAnsi="Times New Roman" w:cs="Times New Roman"/>
          <w:sz w:val="24"/>
          <w:szCs w:val="24"/>
        </w:rPr>
        <w:t>Defendants’ Counsel strategically fails to mention U.S.C. title 25 § 1302</w:t>
      </w:r>
      <w:r>
        <w:rPr>
          <w:rFonts w:ascii="Times New Roman" w:hAnsi="Times New Roman" w:cs="Times New Roman"/>
          <w:sz w:val="24"/>
          <w:szCs w:val="24"/>
        </w:rPr>
        <w:t>, in any of his reply briefs,</w:t>
      </w:r>
      <w:r w:rsidRPr="001D2FF1">
        <w:rPr>
          <w:rFonts w:ascii="Times New Roman" w:hAnsi="Times New Roman" w:cs="Times New Roman"/>
          <w:sz w:val="24"/>
          <w:szCs w:val="24"/>
        </w:rPr>
        <w:t xml:space="preserve"> and how all “Tribal” law must stay within the confines of their statutory bounds. Any excessive rule making, for the “Congressionally” created entity, must stay within their rules of statutory construction. While the individual members of the Choctaw Indians do not have </w:t>
      </w:r>
      <w:r w:rsidRPr="001D2FF1">
        <w:rPr>
          <w:rFonts w:ascii="Times New Roman" w:hAnsi="Times New Roman" w:cs="Times New Roman"/>
          <w:sz w:val="24"/>
          <w:szCs w:val="24"/>
        </w:rPr>
        <w:lastRenderedPageBreak/>
        <w:t xml:space="preserve">the Bill of Rights to use, Plaintiffs can invoke the liberties as enumerated for the protection of Plaintiffs’ rights. </w:t>
      </w:r>
      <w:r w:rsidR="003B5988">
        <w:rPr>
          <w:rStyle w:val="FootnoteReference"/>
          <w:rFonts w:ascii="Times New Roman" w:hAnsi="Times New Roman" w:cs="Times New Roman"/>
          <w:sz w:val="24"/>
          <w:szCs w:val="24"/>
        </w:rPr>
        <w:footnoteReference w:id="1"/>
      </w:r>
      <w:r w:rsidR="003B5988">
        <w:rPr>
          <w:rStyle w:val="FootnoteReference"/>
          <w:rFonts w:ascii="Times New Roman" w:hAnsi="Times New Roman" w:cs="Times New Roman"/>
          <w:sz w:val="24"/>
          <w:szCs w:val="24"/>
        </w:rPr>
        <w:footnoteReference w:id="2"/>
      </w:r>
      <w:r w:rsidR="003B5988">
        <w:rPr>
          <w:rStyle w:val="FootnoteReference"/>
          <w:rFonts w:ascii="Times New Roman" w:hAnsi="Times New Roman" w:cs="Times New Roman"/>
          <w:sz w:val="24"/>
          <w:szCs w:val="24"/>
        </w:rPr>
        <w:footnoteReference w:id="3"/>
      </w:r>
    </w:p>
    <w:p w14:paraId="66942F4F" w14:textId="77777777" w:rsidR="001D2FF1" w:rsidRPr="001D2FF1" w:rsidRDefault="001D2FF1" w:rsidP="00554E93">
      <w:pPr>
        <w:pStyle w:val="ListParagraph"/>
        <w:numPr>
          <w:ilvl w:val="0"/>
          <w:numId w:val="2"/>
        </w:numPr>
        <w:spacing w:line="480" w:lineRule="auto"/>
        <w:rPr>
          <w:rFonts w:ascii="Times New Roman" w:hAnsi="Times New Roman" w:cs="Times New Roman"/>
          <w:sz w:val="24"/>
          <w:szCs w:val="24"/>
        </w:rPr>
      </w:pPr>
      <w:r w:rsidRPr="001D2FF1">
        <w:rPr>
          <w:rFonts w:ascii="Times New Roman" w:hAnsi="Times New Roman" w:cs="Times New Roman"/>
          <w:sz w:val="24"/>
          <w:szCs w:val="24"/>
        </w:rPr>
        <w:t xml:space="preserve">Justice Marshall eloquently stated this principle in his concurring opinion in </w:t>
      </w:r>
      <w:r w:rsidRPr="003B5988">
        <w:rPr>
          <w:rFonts w:ascii="Times New Roman" w:hAnsi="Times New Roman" w:cs="Times New Roman"/>
          <w:i/>
          <w:iCs/>
          <w:sz w:val="24"/>
          <w:szCs w:val="24"/>
        </w:rPr>
        <w:t>Touby</w:t>
      </w:r>
      <w:r w:rsidRPr="001D2FF1">
        <w:rPr>
          <w:rFonts w:ascii="Times New Roman" w:hAnsi="Times New Roman" w:cs="Times New Roman"/>
          <w:sz w:val="24"/>
          <w:szCs w:val="24"/>
        </w:rPr>
        <w:t xml:space="preserve">: judicial review, “perfects a delegated-lawmaking scheme by assuring that the exercise of such power remains within statutory bounds." </w:t>
      </w:r>
      <w:r w:rsidRPr="003B5988">
        <w:rPr>
          <w:rFonts w:ascii="Times New Roman" w:hAnsi="Times New Roman" w:cs="Times New Roman"/>
          <w:i/>
          <w:iCs/>
          <w:sz w:val="24"/>
          <w:szCs w:val="24"/>
        </w:rPr>
        <w:t>500 U.S. at 170, 111 S.Ct. at 1758</w:t>
      </w:r>
      <w:r w:rsidRPr="001D2FF1">
        <w:rPr>
          <w:rFonts w:ascii="Times New Roman" w:hAnsi="Times New Roman" w:cs="Times New Roman"/>
          <w:sz w:val="24"/>
          <w:szCs w:val="24"/>
        </w:rPr>
        <w:t>.</w:t>
      </w:r>
    </w:p>
    <w:p w14:paraId="33A15BDE" w14:textId="22B47600" w:rsidR="003B5988" w:rsidRPr="003B5988" w:rsidRDefault="003B5988" w:rsidP="00554E93">
      <w:pPr>
        <w:pStyle w:val="ListParagraph"/>
        <w:numPr>
          <w:ilvl w:val="0"/>
          <w:numId w:val="2"/>
        </w:numPr>
        <w:spacing w:line="480" w:lineRule="auto"/>
        <w:rPr>
          <w:rFonts w:ascii="Times New Roman" w:hAnsi="Times New Roman" w:cs="Times New Roman"/>
          <w:sz w:val="24"/>
          <w:szCs w:val="24"/>
        </w:rPr>
      </w:pPr>
      <w:r w:rsidRPr="003B5988">
        <w:rPr>
          <w:rFonts w:ascii="Times New Roman" w:hAnsi="Times New Roman" w:cs="Times New Roman"/>
          <w:sz w:val="24"/>
          <w:szCs w:val="24"/>
        </w:rPr>
        <w:t xml:space="preserve">Plaintiffs demand that Defendants’ Counsel </w:t>
      </w:r>
      <w:r w:rsidR="00AC3010">
        <w:rPr>
          <w:rFonts w:ascii="Times New Roman" w:hAnsi="Times New Roman" w:cs="Times New Roman"/>
          <w:sz w:val="24"/>
          <w:szCs w:val="24"/>
        </w:rPr>
        <w:t>S</w:t>
      </w:r>
      <w:r w:rsidRPr="003B5988">
        <w:rPr>
          <w:rFonts w:ascii="Times New Roman" w:hAnsi="Times New Roman" w:cs="Times New Roman"/>
          <w:sz w:val="24"/>
          <w:szCs w:val="24"/>
        </w:rPr>
        <w:t xml:space="preserve">how </w:t>
      </w:r>
      <w:r w:rsidR="00AC3010">
        <w:rPr>
          <w:rFonts w:ascii="Times New Roman" w:hAnsi="Times New Roman" w:cs="Times New Roman"/>
          <w:sz w:val="24"/>
          <w:szCs w:val="24"/>
        </w:rPr>
        <w:t>C</w:t>
      </w:r>
      <w:r w:rsidRPr="003B5988">
        <w:rPr>
          <w:rFonts w:ascii="Times New Roman" w:hAnsi="Times New Roman" w:cs="Times New Roman"/>
          <w:sz w:val="24"/>
          <w:szCs w:val="24"/>
        </w:rPr>
        <w:t>ause as to how Ordinance 2020-06-B, issued by Chief Cyrus Ben, was constitutional on its face and how, when applied to Plaintiffs, did not deprive t</w:t>
      </w:r>
      <w:r w:rsidR="00277DFB">
        <w:rPr>
          <w:rFonts w:ascii="Times New Roman" w:hAnsi="Times New Roman" w:cs="Times New Roman"/>
          <w:sz w:val="24"/>
          <w:szCs w:val="24"/>
        </w:rPr>
        <w:t xml:space="preserve">he </w:t>
      </w:r>
      <w:r w:rsidRPr="003B5988">
        <w:rPr>
          <w:rFonts w:ascii="Times New Roman" w:hAnsi="Times New Roman" w:cs="Times New Roman"/>
          <w:sz w:val="24"/>
          <w:szCs w:val="24"/>
        </w:rPr>
        <w:t>constitutionally secured rights of the Plaintiffs.</w:t>
      </w:r>
    </w:p>
    <w:p w14:paraId="55F1A8EE" w14:textId="50DB5974" w:rsidR="00AC3010" w:rsidRPr="00AC3010" w:rsidRDefault="00277DFB"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demand that the Defendants Show Cause with factual</w:t>
      </w:r>
      <w:r w:rsidR="0003788E">
        <w:rPr>
          <w:rFonts w:ascii="Times New Roman" w:hAnsi="Times New Roman" w:cs="Times New Roman"/>
          <w:sz w:val="24"/>
          <w:szCs w:val="24"/>
        </w:rPr>
        <w:t xml:space="preserve"> and</w:t>
      </w:r>
      <w:r>
        <w:rPr>
          <w:rFonts w:ascii="Times New Roman" w:hAnsi="Times New Roman" w:cs="Times New Roman"/>
          <w:sz w:val="24"/>
          <w:szCs w:val="24"/>
        </w:rPr>
        <w:t xml:space="preserve"> admissible evidence that bandanas, scarves, and other suitable fabrics constitute medical devices.</w:t>
      </w:r>
    </w:p>
    <w:p w14:paraId="4E2F1887" w14:textId="38504165" w:rsidR="00277DFB" w:rsidRDefault="00277DFB"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demand that the Defendants Show Cause how employees working for the Choctaw Resort Development could make medical determinations without medical licenses.</w:t>
      </w:r>
      <w:r w:rsidR="00554E93">
        <w:rPr>
          <w:rStyle w:val="FootnoteReference"/>
          <w:rFonts w:ascii="Times New Roman" w:hAnsi="Times New Roman" w:cs="Times New Roman"/>
          <w:sz w:val="24"/>
          <w:szCs w:val="24"/>
        </w:rPr>
        <w:footnoteReference w:id="4"/>
      </w:r>
    </w:p>
    <w:p w14:paraId="1BE3E5B6" w14:textId="69076276" w:rsidR="00AC3010" w:rsidRDefault="001067E8"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In the absence of the Defendants being able to validate the aforementioned medical efficacy and safety of ‘scarves, bandanas, or other suitable fabrics’, this Court must assume that the “mask” wearing was nothing more than an inner held conviction or sincerely held belief. </w:t>
      </w:r>
    </w:p>
    <w:p w14:paraId="5B593D87" w14:textId="1912ACD5" w:rsidR="001067E8" w:rsidRDefault="001067E8" w:rsidP="00554E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Defendants have every right to believe, worship, perform rituals, and ceremoniously revere whatever they want, but to “force” the Plaintiffs to join their religious rites of initiation is a violation of the First Amendment of the Constitution of the United States.</w:t>
      </w:r>
    </w:p>
    <w:p w14:paraId="080348B8" w14:textId="08D592DD" w:rsidR="005C284F" w:rsidRPr="005C284F" w:rsidRDefault="005C284F" w:rsidP="005C284F">
      <w:pPr>
        <w:pStyle w:val="ListParagraph"/>
        <w:numPr>
          <w:ilvl w:val="0"/>
          <w:numId w:val="2"/>
        </w:numPr>
        <w:spacing w:line="480" w:lineRule="auto"/>
        <w:rPr>
          <w:rFonts w:ascii="Times New Roman" w:hAnsi="Times New Roman" w:cs="Times New Roman"/>
          <w:sz w:val="24"/>
          <w:szCs w:val="24"/>
        </w:rPr>
      </w:pPr>
      <w:r w:rsidRPr="005C284F">
        <w:rPr>
          <w:rFonts w:ascii="Times New Roman" w:hAnsi="Times New Roman" w:cs="Times New Roman"/>
          <w:sz w:val="24"/>
          <w:szCs w:val="24"/>
        </w:rPr>
        <w:lastRenderedPageBreak/>
        <w:t xml:space="preserve">Wearing bandanas or neck gaiters, as face coverings, to protect against COVID-19 may actually do more harm than not wearing a mask at all as published in a study by Science Advances. Researchers at Duke University in Durham, N.C., analyzed the effectiveness of 14 face coverings ranging from bandanas to N95 masks. “…neck gaiters or bandanas, offer very little protection.” (Abstract of article) Bandanas and neck gaiters have a more porous fabric, which may break up bigger particles into smaller ones that are more likely to float in the air, hence the higher droplet count, said Martin Fischer, PhD, a chemist and physicist who developed the testing device and explained in a video created by Duke University and cited by The Washington Post. https://www.science.org/doi/10.1126/sciadv.abd3083. (Exhibit </w:t>
      </w:r>
      <w:r w:rsidR="009F54E9">
        <w:rPr>
          <w:rFonts w:ascii="Times New Roman" w:hAnsi="Times New Roman" w:cs="Times New Roman"/>
          <w:sz w:val="24"/>
          <w:szCs w:val="24"/>
        </w:rPr>
        <w:t>B</w:t>
      </w:r>
      <w:r w:rsidRPr="005C284F">
        <w:rPr>
          <w:rFonts w:ascii="Times New Roman" w:hAnsi="Times New Roman" w:cs="Times New Roman"/>
          <w:sz w:val="24"/>
          <w:szCs w:val="24"/>
        </w:rPr>
        <w:t>)</w:t>
      </w:r>
    </w:p>
    <w:p w14:paraId="0109657B" w14:textId="31796429" w:rsidR="005C284F" w:rsidRDefault="005C284F" w:rsidP="005C284F">
      <w:pPr>
        <w:pStyle w:val="ListParagraph"/>
        <w:numPr>
          <w:ilvl w:val="0"/>
          <w:numId w:val="2"/>
        </w:numPr>
        <w:spacing w:line="480" w:lineRule="auto"/>
        <w:rPr>
          <w:rFonts w:ascii="Times New Roman" w:hAnsi="Times New Roman" w:cs="Times New Roman"/>
          <w:sz w:val="24"/>
          <w:szCs w:val="24"/>
        </w:rPr>
      </w:pPr>
      <w:r w:rsidRPr="005C284F">
        <w:rPr>
          <w:rFonts w:ascii="Times New Roman" w:hAnsi="Times New Roman" w:cs="Times New Roman"/>
          <w:sz w:val="24"/>
          <w:szCs w:val="24"/>
        </w:rPr>
        <w:t xml:space="preserve">Without such evidence, the court must assume that the “belief” in mask wearing by the Defendants was simply an inner held conviction. While that sincerely held “belief” is a protected activity, forcing others to comply with this “belief” is criminal on its face, and as applied, disregards and vilifies the religious (right to choose/freedom of conscience) freedom of others, absent of any legal or lawful authority. </w:t>
      </w:r>
    </w:p>
    <w:p w14:paraId="1904343E" w14:textId="4574CEC9" w:rsidR="001D2567" w:rsidRDefault="001D2567" w:rsidP="005C284F">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demand that the Defendants Show Cause the scientific data, medical safety, and medical efficacy of ‘scarves, bandanas, or other suitable fabrics’ data compiled by the Tribe</w:t>
      </w:r>
      <w:r w:rsidR="00CB419C">
        <w:rPr>
          <w:rFonts w:ascii="Times New Roman" w:hAnsi="Times New Roman" w:cs="Times New Roman"/>
          <w:sz w:val="24"/>
          <w:szCs w:val="24"/>
        </w:rPr>
        <w:t>,</w:t>
      </w:r>
      <w:r>
        <w:rPr>
          <w:rFonts w:ascii="Times New Roman" w:hAnsi="Times New Roman" w:cs="Times New Roman"/>
          <w:sz w:val="24"/>
          <w:szCs w:val="24"/>
        </w:rPr>
        <w:t xml:space="preserve"> through their own team of medical experts.</w:t>
      </w:r>
    </w:p>
    <w:p w14:paraId="720CF592" w14:textId="3C01A7FC" w:rsidR="001D2567" w:rsidRDefault="001D2567" w:rsidP="005C284F">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Absent of this evidence produced by the Defendants, the alleg</w:t>
      </w:r>
      <w:r w:rsidR="00CB419C">
        <w:rPr>
          <w:rFonts w:ascii="Times New Roman" w:hAnsi="Times New Roman" w:cs="Times New Roman"/>
          <w:sz w:val="24"/>
          <w:szCs w:val="24"/>
        </w:rPr>
        <w:t>ed State or Federal involvement with persuading the minds of the “sovereign” nation to impose regulations on living, breathing, and sentient men and women, was a restriction of fundamental liberties, absent of any legal or lawful authority.</w:t>
      </w:r>
    </w:p>
    <w:p w14:paraId="7065ACC8" w14:textId="331AC804" w:rsidR="00280FB4" w:rsidRPr="00280FB4" w:rsidRDefault="00280FB4" w:rsidP="00280FB4">
      <w:pPr>
        <w:pStyle w:val="ListParagraph"/>
        <w:numPr>
          <w:ilvl w:val="0"/>
          <w:numId w:val="2"/>
        </w:numPr>
        <w:spacing w:line="480" w:lineRule="auto"/>
        <w:rPr>
          <w:rFonts w:ascii="Times New Roman" w:hAnsi="Times New Roman" w:cs="Times New Roman"/>
          <w:sz w:val="24"/>
          <w:szCs w:val="24"/>
        </w:rPr>
      </w:pPr>
      <w:r w:rsidRPr="00280FB4">
        <w:rPr>
          <w:rFonts w:ascii="Times New Roman" w:hAnsi="Times New Roman" w:cs="Times New Roman"/>
          <w:sz w:val="24"/>
          <w:szCs w:val="24"/>
        </w:rPr>
        <w:t xml:space="preserve">Rule 56 Federal rule of civil procedure states that without any admissible evidence provided by affidavit or deposition by </w:t>
      </w:r>
      <w:r>
        <w:rPr>
          <w:rFonts w:ascii="Times New Roman" w:hAnsi="Times New Roman" w:cs="Times New Roman"/>
          <w:sz w:val="24"/>
          <w:szCs w:val="24"/>
        </w:rPr>
        <w:t xml:space="preserve">Defendants </w:t>
      </w:r>
      <w:r w:rsidRPr="00280FB4">
        <w:rPr>
          <w:rFonts w:ascii="Times New Roman" w:hAnsi="Times New Roman" w:cs="Times New Roman"/>
          <w:sz w:val="24"/>
          <w:szCs w:val="24"/>
        </w:rPr>
        <w:t>counsel</w:t>
      </w:r>
      <w:r>
        <w:rPr>
          <w:rFonts w:ascii="Times New Roman" w:hAnsi="Times New Roman" w:cs="Times New Roman"/>
          <w:sz w:val="24"/>
          <w:szCs w:val="24"/>
        </w:rPr>
        <w:t>, it</w:t>
      </w:r>
      <w:r w:rsidRPr="00280FB4">
        <w:rPr>
          <w:rFonts w:ascii="Times New Roman" w:hAnsi="Times New Roman" w:cs="Times New Roman"/>
          <w:sz w:val="24"/>
          <w:szCs w:val="24"/>
        </w:rPr>
        <w:t xml:space="preserve"> is not facts before the court. It is the duty </w:t>
      </w:r>
      <w:r w:rsidRPr="00280FB4">
        <w:rPr>
          <w:rFonts w:ascii="Times New Roman" w:hAnsi="Times New Roman" w:cs="Times New Roman"/>
          <w:sz w:val="24"/>
          <w:szCs w:val="24"/>
        </w:rPr>
        <w:lastRenderedPageBreak/>
        <w:t>of Defendants</w:t>
      </w:r>
      <w:r w:rsidR="009768EF">
        <w:rPr>
          <w:rFonts w:ascii="Times New Roman" w:hAnsi="Times New Roman" w:cs="Times New Roman"/>
          <w:sz w:val="24"/>
          <w:szCs w:val="24"/>
        </w:rPr>
        <w:t>’</w:t>
      </w:r>
      <w:r w:rsidRPr="00280FB4">
        <w:rPr>
          <w:rFonts w:ascii="Times New Roman" w:hAnsi="Times New Roman" w:cs="Times New Roman"/>
          <w:sz w:val="24"/>
          <w:szCs w:val="24"/>
        </w:rPr>
        <w:t xml:space="preserve"> counsel in the adversarial position to prove that Chief Cyrus Ben was not moved by state actors, such as departments of Health, Agencies of the federal government, or “experts” opinions regarding the efficacy of masks. Defendants counsel has failed to provide any facts by deposition or affidavit to deny any allegations as set forth in the complaint.</w:t>
      </w:r>
    </w:p>
    <w:p w14:paraId="269637E7" w14:textId="746D58CB" w:rsidR="00280FB4" w:rsidRDefault="00280FB4" w:rsidP="00280FB4">
      <w:pPr>
        <w:pStyle w:val="ListParagraph"/>
        <w:numPr>
          <w:ilvl w:val="0"/>
          <w:numId w:val="2"/>
        </w:numPr>
        <w:spacing w:line="480" w:lineRule="auto"/>
        <w:rPr>
          <w:rFonts w:ascii="Times New Roman" w:hAnsi="Times New Roman" w:cs="Times New Roman"/>
          <w:sz w:val="24"/>
          <w:szCs w:val="24"/>
        </w:rPr>
      </w:pPr>
      <w:r w:rsidRPr="00280FB4">
        <w:rPr>
          <w:rFonts w:ascii="Times New Roman" w:hAnsi="Times New Roman" w:cs="Times New Roman"/>
          <w:sz w:val="24"/>
          <w:szCs w:val="24"/>
        </w:rPr>
        <w:t>Plaintiffs included the relevant case law of Dennis v. Sparks on page 15, line 18, in the first cause of action within the complaint, titled Count 1 violation of 42 U.S.C. § 1983. “Private persons, jointly engaged with state officials in the challenged action, are acting under ‘color of law’ for purposes of Section 1983 actions” Dennis v. Sparks 449 U.S. 24, 27-28 (1980)</w:t>
      </w:r>
    </w:p>
    <w:p w14:paraId="21F454D1" w14:textId="77777777" w:rsidR="00450B19" w:rsidRPr="005C284F" w:rsidRDefault="00450B19" w:rsidP="00450B19">
      <w:pPr>
        <w:pStyle w:val="ListParagraph"/>
        <w:spacing w:line="480" w:lineRule="auto"/>
        <w:ind w:left="360"/>
        <w:rPr>
          <w:rFonts w:ascii="Times New Roman" w:hAnsi="Times New Roman" w:cs="Times New Roman"/>
          <w:sz w:val="24"/>
          <w:szCs w:val="24"/>
        </w:rPr>
      </w:pPr>
    </w:p>
    <w:p w14:paraId="35530CC0" w14:textId="76F54AAF" w:rsidR="00450B19" w:rsidRPr="00450B19" w:rsidRDefault="005C284F" w:rsidP="00450B19">
      <w:pPr>
        <w:pStyle w:val="ListParagraph"/>
        <w:numPr>
          <w:ilvl w:val="0"/>
          <w:numId w:val="1"/>
        </w:numPr>
        <w:spacing w:line="480" w:lineRule="auto"/>
        <w:jc w:val="center"/>
        <w:rPr>
          <w:rFonts w:ascii="Times New Roman" w:hAnsi="Times New Roman" w:cs="Times New Roman"/>
          <w:b/>
          <w:bCs/>
          <w:sz w:val="28"/>
          <w:szCs w:val="28"/>
        </w:rPr>
      </w:pPr>
      <w:r w:rsidRPr="00450B19">
        <w:rPr>
          <w:rFonts w:ascii="Times New Roman" w:hAnsi="Times New Roman" w:cs="Times New Roman"/>
          <w:b/>
          <w:bCs/>
          <w:sz w:val="28"/>
          <w:szCs w:val="28"/>
          <w:u w:val="single"/>
        </w:rPr>
        <w:t>SHOW CAUSE FOR EQUAL APPLICATION OF ORDINANCE 2020-06-B</w:t>
      </w:r>
    </w:p>
    <w:p w14:paraId="6858D8CC" w14:textId="649D3553" w:rsidR="005C284F" w:rsidRDefault="0009557A" w:rsidP="0009557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pled in their Complaint, on page 6, within the preliminary statement, ¶ 6, “In ordinance with 2020-06-B, Cyrus Ben allowed for exemptions of two-year old children and no other exemptions, thereby chilling, deterring Plaintiffs’ right for self-determination. Chief Cyrus Ben created a workforce under his direction who acted in concert with one another, believing they had legal and lawful right to violate Plaintiffs’ substantive rights as secured by the United States Constitution and Federal Law.”</w:t>
      </w:r>
    </w:p>
    <w:p w14:paraId="7E138A77" w14:textId="7E2DF7BF" w:rsidR="0009557A" w:rsidRDefault="0009557A" w:rsidP="0009557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demand that the Defendants Show Cause how equal application of the laws allowed two-year old children to be exempt</w:t>
      </w:r>
      <w:r w:rsidR="000C1D30">
        <w:rPr>
          <w:rFonts w:ascii="Times New Roman" w:hAnsi="Times New Roman" w:cs="Times New Roman"/>
          <w:sz w:val="24"/>
          <w:szCs w:val="24"/>
        </w:rPr>
        <w:t xml:space="preserve"> but no others.</w:t>
      </w:r>
    </w:p>
    <w:p w14:paraId="44865844" w14:textId="35668D26" w:rsidR="00C10114" w:rsidRDefault="00C10114" w:rsidP="0009557A">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demand that the Defendants Show Cause, how two-year old children, wards, under the supervision of their guardians had more rights and liberty than their guardians.</w:t>
      </w:r>
    </w:p>
    <w:p w14:paraId="3A41BFA0" w14:textId="77777777" w:rsidR="00450B19" w:rsidRDefault="00450B19" w:rsidP="00450B19">
      <w:pPr>
        <w:pStyle w:val="ListParagraph"/>
        <w:spacing w:line="480" w:lineRule="auto"/>
        <w:ind w:left="360"/>
        <w:rPr>
          <w:rFonts w:ascii="Times New Roman" w:hAnsi="Times New Roman" w:cs="Times New Roman"/>
          <w:sz w:val="24"/>
          <w:szCs w:val="24"/>
        </w:rPr>
      </w:pPr>
    </w:p>
    <w:p w14:paraId="7E11FFEE" w14:textId="542E133B" w:rsidR="000C1D30" w:rsidRPr="00B75F1C" w:rsidRDefault="000346D0" w:rsidP="000346D0">
      <w:pPr>
        <w:pStyle w:val="ListParagraph"/>
        <w:numPr>
          <w:ilvl w:val="0"/>
          <w:numId w:val="1"/>
        </w:numPr>
        <w:spacing w:line="480" w:lineRule="auto"/>
        <w:jc w:val="center"/>
        <w:rPr>
          <w:rFonts w:ascii="Times New Roman" w:hAnsi="Times New Roman" w:cs="Times New Roman"/>
          <w:b/>
          <w:bCs/>
          <w:sz w:val="28"/>
          <w:szCs w:val="28"/>
        </w:rPr>
      </w:pPr>
      <w:r w:rsidRPr="00B75F1C">
        <w:rPr>
          <w:rFonts w:ascii="Times New Roman" w:hAnsi="Times New Roman" w:cs="Times New Roman"/>
          <w:b/>
          <w:bCs/>
          <w:sz w:val="28"/>
          <w:szCs w:val="28"/>
          <w:u w:val="single"/>
        </w:rPr>
        <w:t>CONCLUSION</w:t>
      </w:r>
    </w:p>
    <w:p w14:paraId="06A49548" w14:textId="52683B99" w:rsidR="000346D0" w:rsidRDefault="001D2567" w:rsidP="001D2567">
      <w:pPr>
        <w:pStyle w:val="ListParagraph"/>
        <w:spacing w:line="480" w:lineRule="auto"/>
        <w:ind w:left="360"/>
        <w:rPr>
          <w:rFonts w:ascii="Times New Roman" w:hAnsi="Times New Roman" w:cs="Times New Roman"/>
          <w:sz w:val="24"/>
          <w:szCs w:val="24"/>
        </w:rPr>
      </w:pPr>
      <w:r>
        <w:rPr>
          <w:rFonts w:ascii="Times New Roman" w:hAnsi="Times New Roman" w:cs="Times New Roman"/>
          <w:sz w:val="24"/>
          <w:szCs w:val="24"/>
        </w:rPr>
        <w:lastRenderedPageBreak/>
        <w:tab/>
      </w:r>
      <w:r w:rsidR="000346D0" w:rsidRPr="000346D0">
        <w:rPr>
          <w:rFonts w:ascii="Times New Roman" w:hAnsi="Times New Roman" w:cs="Times New Roman"/>
          <w:sz w:val="24"/>
          <w:szCs w:val="24"/>
        </w:rPr>
        <w:t>Constitutional guarantees of particular fundamental rights protect those rights from violation or interference by the government or burdens imposed by the government, at least to the extent that the government interference is unwarranted or the burden is undue. Fundamental constitutional rights may not be made to yield to mere legislative discretion, public interest, or majority vote.</w:t>
      </w:r>
    </w:p>
    <w:p w14:paraId="03C32E55" w14:textId="72D59065" w:rsidR="001D2567" w:rsidRDefault="001D2567" w:rsidP="001D2567">
      <w:pPr>
        <w:pStyle w:val="ListParagraph"/>
        <w:spacing w:line="480" w:lineRule="auto"/>
        <w:ind w:left="360"/>
        <w:rPr>
          <w:rFonts w:ascii="Times New Roman" w:hAnsi="Times New Roman" w:cs="Times New Roman"/>
          <w:sz w:val="24"/>
          <w:szCs w:val="24"/>
        </w:rPr>
      </w:pPr>
      <w:r>
        <w:rPr>
          <w:rFonts w:ascii="Times New Roman" w:hAnsi="Times New Roman" w:cs="Times New Roman"/>
          <w:sz w:val="24"/>
          <w:szCs w:val="24"/>
        </w:rPr>
        <w:tab/>
      </w:r>
      <w:r w:rsidRPr="001D2567">
        <w:rPr>
          <w:rFonts w:ascii="Times New Roman" w:hAnsi="Times New Roman" w:cs="Times New Roman"/>
          <w:sz w:val="24"/>
          <w:szCs w:val="24"/>
        </w:rPr>
        <w:t>Laws that severely burden, substantially burden, infringe on, or significantly interfere with the exercise of a fundamental constitutional right are subject to review under a standard of strict judicial scrutiny, requiring a compelling state interest and objectives that could not be achieved by less restrictive measures.</w:t>
      </w:r>
    </w:p>
    <w:p w14:paraId="06115C45" w14:textId="5F0E0160" w:rsidR="00280FB4" w:rsidRDefault="00280FB4" w:rsidP="001D2567">
      <w:pPr>
        <w:pStyle w:val="ListParagraph"/>
        <w:spacing w:line="480" w:lineRule="auto"/>
        <w:ind w:left="360"/>
        <w:rPr>
          <w:rFonts w:ascii="Times New Roman" w:hAnsi="Times New Roman" w:cs="Times New Roman"/>
          <w:sz w:val="24"/>
          <w:szCs w:val="24"/>
        </w:rPr>
      </w:pPr>
      <w:r>
        <w:rPr>
          <w:rFonts w:ascii="Times New Roman" w:hAnsi="Times New Roman" w:cs="Times New Roman"/>
          <w:sz w:val="24"/>
          <w:szCs w:val="24"/>
        </w:rPr>
        <w:tab/>
      </w:r>
      <w:r w:rsidRPr="00280FB4">
        <w:rPr>
          <w:rFonts w:ascii="Times New Roman" w:hAnsi="Times New Roman" w:cs="Times New Roman"/>
          <w:sz w:val="24"/>
          <w:szCs w:val="24"/>
        </w:rPr>
        <w:t>Plaintiffs did not make the Indian Tribes leave their sovereignty behind and enter the world of interstate commerce, that was a decision on their own, made by greed</w:t>
      </w:r>
      <w:r w:rsidR="0003788E">
        <w:rPr>
          <w:rFonts w:ascii="Times New Roman" w:hAnsi="Times New Roman" w:cs="Times New Roman"/>
          <w:sz w:val="24"/>
          <w:szCs w:val="24"/>
        </w:rPr>
        <w:t>,</w:t>
      </w:r>
      <w:r w:rsidRPr="00280FB4">
        <w:rPr>
          <w:rFonts w:ascii="Times New Roman" w:hAnsi="Times New Roman" w:cs="Times New Roman"/>
          <w:sz w:val="24"/>
          <w:szCs w:val="24"/>
        </w:rPr>
        <w:t xml:space="preserve"> and continued merger with Western Ideology. Pearl River Resorts and the shelter organization created, Choctaw Resort Development, entered willingly and willfully into regulatory businesses.</w:t>
      </w:r>
    </w:p>
    <w:p w14:paraId="720949A7" w14:textId="72D4FDFF" w:rsidR="00280FB4" w:rsidRDefault="00280FB4" w:rsidP="001D2567">
      <w:pPr>
        <w:pStyle w:val="ListParagraph"/>
        <w:spacing w:line="480" w:lineRule="auto"/>
        <w:ind w:left="360"/>
        <w:rPr>
          <w:rFonts w:ascii="Times New Roman" w:hAnsi="Times New Roman" w:cs="Times New Roman"/>
          <w:sz w:val="24"/>
          <w:szCs w:val="24"/>
        </w:rPr>
      </w:pPr>
      <w:r>
        <w:rPr>
          <w:rFonts w:ascii="Times New Roman" w:hAnsi="Times New Roman" w:cs="Times New Roman"/>
          <w:sz w:val="24"/>
          <w:szCs w:val="24"/>
        </w:rPr>
        <w:tab/>
      </w:r>
      <w:r w:rsidRPr="00B75F1C">
        <w:rPr>
          <w:rFonts w:ascii="Times New Roman" w:hAnsi="Times New Roman" w:cs="Times New Roman"/>
          <w:b/>
          <w:bCs/>
          <w:sz w:val="24"/>
          <w:szCs w:val="24"/>
        </w:rPr>
        <w:t>WHEREFORE</w:t>
      </w:r>
      <w:r w:rsidRPr="00280FB4">
        <w:rPr>
          <w:rFonts w:ascii="Times New Roman" w:hAnsi="Times New Roman" w:cs="Times New Roman"/>
          <w:sz w:val="24"/>
          <w:szCs w:val="24"/>
        </w:rPr>
        <w:t>, Plaintiffs move this Honorable Court to enter an Order to Show Cause, directing Defendants’ Counsel to Show Cause</w:t>
      </w:r>
      <w:r w:rsidR="00583E85">
        <w:rPr>
          <w:rFonts w:ascii="Times New Roman" w:hAnsi="Times New Roman" w:cs="Times New Roman"/>
          <w:sz w:val="24"/>
          <w:szCs w:val="24"/>
        </w:rPr>
        <w:t>,</w:t>
      </w:r>
      <w:r w:rsidRPr="00280FB4">
        <w:rPr>
          <w:rFonts w:ascii="Times New Roman" w:hAnsi="Times New Roman" w:cs="Times New Roman"/>
          <w:sz w:val="24"/>
          <w:szCs w:val="24"/>
        </w:rPr>
        <w:t xml:space="preserve"> </w:t>
      </w:r>
      <w:r>
        <w:rPr>
          <w:rFonts w:ascii="Times New Roman" w:hAnsi="Times New Roman" w:cs="Times New Roman"/>
          <w:sz w:val="24"/>
          <w:szCs w:val="24"/>
        </w:rPr>
        <w:t>with admissible evidence</w:t>
      </w:r>
      <w:r w:rsidR="00583E85">
        <w:rPr>
          <w:rFonts w:ascii="Times New Roman" w:hAnsi="Times New Roman" w:cs="Times New Roman"/>
          <w:sz w:val="24"/>
          <w:szCs w:val="24"/>
        </w:rPr>
        <w:t>,</w:t>
      </w:r>
      <w:r>
        <w:rPr>
          <w:rFonts w:ascii="Times New Roman" w:hAnsi="Times New Roman" w:cs="Times New Roman"/>
          <w:sz w:val="24"/>
          <w:szCs w:val="24"/>
        </w:rPr>
        <w:t xml:space="preserve"> how the Ordinance 2020-06-B, signed and executed by Chief Cyrus Ben, was within his executable powers and was constitutional on its face and as it was applied to the Plaintiffs, it </w:t>
      </w:r>
      <w:r w:rsidR="0022717E">
        <w:rPr>
          <w:rFonts w:ascii="Times New Roman" w:hAnsi="Times New Roman" w:cs="Times New Roman"/>
          <w:sz w:val="24"/>
          <w:szCs w:val="24"/>
        </w:rPr>
        <w:t>didn’t restrict fundamental rights absent of any legal or lawful authority.</w:t>
      </w:r>
    </w:p>
    <w:p w14:paraId="20860AC9" w14:textId="14748407" w:rsidR="0022717E" w:rsidRDefault="0022717E" w:rsidP="0022717E">
      <w:pPr>
        <w:pStyle w:val="ListParagraph"/>
        <w:spacing w:line="480" w:lineRule="auto"/>
        <w:ind w:left="360"/>
        <w:jc w:val="right"/>
        <w:rPr>
          <w:rFonts w:ascii="Times New Roman" w:hAnsi="Times New Roman" w:cs="Times New Roman"/>
          <w:sz w:val="24"/>
          <w:szCs w:val="24"/>
        </w:rPr>
      </w:pPr>
      <w:r>
        <w:rPr>
          <w:rFonts w:ascii="Times New Roman" w:hAnsi="Times New Roman" w:cs="Times New Roman"/>
          <w:sz w:val="24"/>
          <w:szCs w:val="24"/>
        </w:rPr>
        <w:t>___________________</w:t>
      </w:r>
    </w:p>
    <w:p w14:paraId="3D56232D" w14:textId="5C1F2032" w:rsidR="0022717E" w:rsidRPr="008E18A5" w:rsidRDefault="00AC5194" w:rsidP="008E18A5">
      <w:pPr>
        <w:pStyle w:val="ListParagraph"/>
        <w:spacing w:line="480" w:lineRule="auto"/>
        <w:ind w:left="360"/>
        <w:jc w:val="right"/>
        <w:rPr>
          <w:rFonts w:ascii="Times New Roman" w:hAnsi="Times New Roman" w:cs="Times New Roman"/>
          <w:i/>
          <w:iCs/>
          <w:sz w:val="24"/>
          <w:szCs w:val="24"/>
        </w:rPr>
      </w:pPr>
      <w:r>
        <w:rPr>
          <w:rFonts w:ascii="Times New Roman" w:hAnsi="Times New Roman" w:cs="Times New Roman"/>
          <w:sz w:val="24"/>
          <w:szCs w:val="24"/>
        </w:rPr>
        <w:tab/>
      </w:r>
      <w:r w:rsidR="003D2597">
        <w:rPr>
          <w:rFonts w:ascii="Times New Roman" w:hAnsi="Times New Roman" w:cs="Times New Roman"/>
          <w:sz w:val="24"/>
          <w:szCs w:val="24"/>
        </w:rPr>
        <w:t>Howard Brown</w:t>
      </w:r>
      <w:r w:rsidR="0022717E">
        <w:rPr>
          <w:rFonts w:ascii="Times New Roman" w:hAnsi="Times New Roman" w:cs="Times New Roman"/>
          <w:sz w:val="24"/>
          <w:szCs w:val="24"/>
        </w:rPr>
        <w:t xml:space="preserve"> </w:t>
      </w:r>
      <w:r w:rsidR="0022717E">
        <w:rPr>
          <w:rFonts w:ascii="Times New Roman" w:hAnsi="Times New Roman" w:cs="Times New Roman"/>
          <w:i/>
          <w:iCs/>
          <w:sz w:val="24"/>
          <w:szCs w:val="24"/>
        </w:rPr>
        <w:t>pro se</w:t>
      </w:r>
    </w:p>
    <w:p w14:paraId="056DFAF7" w14:textId="77777777" w:rsidR="001F3935" w:rsidRPr="00634FC6" w:rsidRDefault="001F3935" w:rsidP="008E18A5">
      <w:pPr>
        <w:jc w:val="center"/>
        <w:rPr>
          <w:rFonts w:ascii="Times New Roman" w:hAnsi="Times New Roman" w:cs="Times New Roman"/>
          <w:b/>
          <w:bCs/>
          <w:sz w:val="24"/>
          <w:szCs w:val="24"/>
        </w:rPr>
      </w:pPr>
      <w:r w:rsidRPr="00634FC6">
        <w:rPr>
          <w:rFonts w:ascii="Times New Roman" w:hAnsi="Times New Roman" w:cs="Times New Roman"/>
          <w:b/>
          <w:bCs/>
          <w:sz w:val="24"/>
          <w:szCs w:val="24"/>
        </w:rPr>
        <w:t xml:space="preserve">VERIFICATION OF </w:t>
      </w:r>
      <w:r>
        <w:rPr>
          <w:rFonts w:ascii="Times New Roman" w:hAnsi="Times New Roman" w:cs="Times New Roman"/>
          <w:b/>
          <w:bCs/>
          <w:sz w:val="24"/>
          <w:szCs w:val="24"/>
        </w:rPr>
        <w:t>MOTION TO SHOW CAUSE</w:t>
      </w:r>
    </w:p>
    <w:p w14:paraId="6741951E" w14:textId="77777777" w:rsidR="001F3935" w:rsidRPr="0022084B" w:rsidRDefault="001F3935" w:rsidP="001F3935">
      <w:pPr>
        <w:rPr>
          <w:rFonts w:ascii="Times New Roman" w:hAnsi="Times New Roman" w:cs="Times New Roman"/>
          <w:sz w:val="24"/>
          <w:szCs w:val="24"/>
        </w:rPr>
      </w:pPr>
      <w:r w:rsidRPr="0022084B">
        <w:rPr>
          <w:rFonts w:ascii="Times New Roman" w:hAnsi="Times New Roman" w:cs="Times New Roman"/>
          <w:sz w:val="24"/>
          <w:szCs w:val="24"/>
        </w:rPr>
        <w:t>STATE OF LOUISIANA</w:t>
      </w:r>
    </w:p>
    <w:p w14:paraId="5A02935D" w14:textId="77777777" w:rsidR="001F3935" w:rsidRPr="0022084B" w:rsidRDefault="001F3935" w:rsidP="001F3935">
      <w:pPr>
        <w:rPr>
          <w:rFonts w:ascii="Times New Roman" w:hAnsi="Times New Roman" w:cs="Times New Roman"/>
          <w:sz w:val="24"/>
          <w:szCs w:val="24"/>
        </w:rPr>
      </w:pPr>
      <w:r w:rsidRPr="0022084B">
        <w:rPr>
          <w:rFonts w:ascii="Times New Roman" w:hAnsi="Times New Roman" w:cs="Times New Roman"/>
          <w:sz w:val="24"/>
          <w:szCs w:val="24"/>
        </w:rPr>
        <w:lastRenderedPageBreak/>
        <w:t xml:space="preserve">PARISH OF </w:t>
      </w:r>
      <w:r>
        <w:rPr>
          <w:rFonts w:ascii="Times New Roman" w:hAnsi="Times New Roman" w:cs="Times New Roman"/>
          <w:sz w:val="24"/>
          <w:szCs w:val="24"/>
        </w:rPr>
        <w:t>EAST BATON ROUGE</w:t>
      </w:r>
    </w:p>
    <w:p w14:paraId="2FDC2D1B" w14:textId="77777777" w:rsidR="001F3935"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w:t>
      </w:r>
      <w:r>
        <w:rPr>
          <w:rFonts w:ascii="Times New Roman" w:hAnsi="Times New Roman" w:cs="Times New Roman"/>
          <w:sz w:val="24"/>
          <w:szCs w:val="24"/>
        </w:rPr>
        <w:t xml:space="preserve">Howard Brown </w:t>
      </w:r>
      <w:r w:rsidRPr="00634FC6">
        <w:rPr>
          <w:rFonts w:ascii="Times New Roman" w:hAnsi="Times New Roman" w:cs="Times New Roman"/>
          <w:sz w:val="24"/>
          <w:szCs w:val="24"/>
        </w:rPr>
        <w:t xml:space="preserve">who, being by me first duly sworn and identified in accordance with </w:t>
      </w:r>
      <w:r>
        <w:rPr>
          <w:rFonts w:ascii="Times New Roman" w:hAnsi="Times New Roman" w:cs="Times New Roman"/>
          <w:sz w:val="24"/>
          <w:szCs w:val="24"/>
        </w:rPr>
        <w:t>Louisiana</w:t>
      </w:r>
      <w:r w:rsidRPr="00634FC6">
        <w:rPr>
          <w:rFonts w:ascii="Times New Roman" w:hAnsi="Times New Roman" w:cs="Times New Roman"/>
          <w:sz w:val="24"/>
          <w:szCs w:val="24"/>
        </w:rPr>
        <w:t xml:space="preserve"> law, deposes and says:</w:t>
      </w:r>
    </w:p>
    <w:p w14:paraId="2CBB21E0" w14:textId="77777777" w:rsidR="001F3935"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I, </w:t>
      </w:r>
      <w:r>
        <w:rPr>
          <w:rFonts w:ascii="Times New Roman" w:hAnsi="Times New Roman" w:cs="Times New Roman"/>
          <w:sz w:val="24"/>
          <w:szCs w:val="24"/>
        </w:rPr>
        <w:t>Howard Brown</w:t>
      </w:r>
      <w:r w:rsidRPr="008A68AC">
        <w:rPr>
          <w:rFonts w:ascii="Times New Roman" w:hAnsi="Times New Roman" w:cs="Times New Roman"/>
          <w:sz w:val="24"/>
          <w:szCs w:val="24"/>
        </w:rPr>
        <w:t xml:space="preserve">, am the named Plaintiff above and state and swear before God, under penalty of perjury, under the laws of the United States, that the following is true and correct to the best of my knowledge: </w:t>
      </w:r>
    </w:p>
    <w:p w14:paraId="220F69A4" w14:textId="77777777" w:rsidR="001F3935"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1. I am over the age of 18 and am competent to testify before this court. </w:t>
      </w:r>
    </w:p>
    <w:p w14:paraId="44547532" w14:textId="77777777" w:rsidR="001F3935"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2. I am the Plaintiff in the above-entitled action and I am familiar with the files, records and pleadings in this matter. </w:t>
      </w:r>
    </w:p>
    <w:p w14:paraId="7720D6FA" w14:textId="77777777" w:rsidR="001F3935" w:rsidRPr="00F32EAF" w:rsidRDefault="001F3935" w:rsidP="001F3935">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3. The facts set forth in this petition are true and correct to the best of my knowledge.</w:t>
      </w:r>
    </w:p>
    <w:p w14:paraId="41E43087"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ab/>
        <w:t>FURTHER THE AFFIANT SAYETH NAUGHT.</w:t>
      </w:r>
    </w:p>
    <w:p w14:paraId="6A2680AF" w14:textId="77777777" w:rsidR="001F3935" w:rsidRPr="00634FC6" w:rsidRDefault="001F3935" w:rsidP="001F3935">
      <w:pPr>
        <w:rPr>
          <w:rFonts w:ascii="Times New Roman" w:hAnsi="Times New Roman" w:cs="Times New Roman"/>
          <w:sz w:val="24"/>
          <w:szCs w:val="24"/>
        </w:rPr>
      </w:pPr>
    </w:p>
    <w:p w14:paraId="6223AB04" w14:textId="77777777" w:rsidR="001F3935" w:rsidRPr="00634FC6" w:rsidRDefault="001F3935" w:rsidP="001F3935">
      <w:pPr>
        <w:spacing w:line="240" w:lineRule="auto"/>
        <w:contextualSpacing/>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w:t>
      </w:r>
    </w:p>
    <w:p w14:paraId="0D649272" w14:textId="77777777" w:rsidR="001F3935" w:rsidRPr="00634FC6" w:rsidRDefault="001F3935" w:rsidP="001F3935">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Howard Brown</w:t>
      </w:r>
      <w:r w:rsidRPr="00634FC6">
        <w:rPr>
          <w:rFonts w:ascii="Times New Roman" w:hAnsi="Times New Roman" w:cs="Times New Roman"/>
          <w:sz w:val="24"/>
          <w:szCs w:val="24"/>
        </w:rPr>
        <w:t>, Affiant</w:t>
      </w:r>
    </w:p>
    <w:p w14:paraId="6652D8A8" w14:textId="77777777" w:rsidR="001F3935" w:rsidRPr="00634FC6" w:rsidRDefault="001F3935" w:rsidP="001F3935">
      <w:pPr>
        <w:spacing w:line="240" w:lineRule="auto"/>
        <w:contextualSpacing/>
        <w:jc w:val="right"/>
        <w:rPr>
          <w:rFonts w:ascii="Times New Roman" w:hAnsi="Times New Roman" w:cs="Times New Roman"/>
          <w:sz w:val="24"/>
          <w:szCs w:val="24"/>
        </w:rPr>
      </w:pPr>
    </w:p>
    <w:p w14:paraId="134E9C8C"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ab/>
        <w:t xml:space="preserve">SWORN TO and subscribed before me this </w:t>
      </w:r>
      <w:r>
        <w:rPr>
          <w:rFonts w:ascii="Times New Roman" w:hAnsi="Times New Roman" w:cs="Times New Roman"/>
          <w:sz w:val="24"/>
          <w:szCs w:val="24"/>
        </w:rPr>
        <w:t>22</w:t>
      </w:r>
      <w:r w:rsidRPr="00F67611">
        <w:rPr>
          <w:rFonts w:ascii="Times New Roman" w:hAnsi="Times New Roman" w:cs="Times New Roman"/>
          <w:sz w:val="24"/>
          <w:szCs w:val="24"/>
          <w:vertAlign w:val="superscript"/>
        </w:rPr>
        <w:t>nd</w:t>
      </w:r>
      <w:r>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Pr>
          <w:rFonts w:ascii="Times New Roman" w:hAnsi="Times New Roman" w:cs="Times New Roman"/>
          <w:sz w:val="24"/>
          <w:szCs w:val="24"/>
        </w:rPr>
        <w:t>August</w:t>
      </w:r>
      <w:r w:rsidRPr="00634FC6">
        <w:rPr>
          <w:rFonts w:ascii="Times New Roman" w:hAnsi="Times New Roman" w:cs="Times New Roman"/>
          <w:sz w:val="24"/>
          <w:szCs w:val="24"/>
        </w:rPr>
        <w:t>, 2022.</w:t>
      </w:r>
    </w:p>
    <w:p w14:paraId="49D84F78" w14:textId="77777777" w:rsidR="001F3935" w:rsidRPr="00634FC6" w:rsidRDefault="001F3935" w:rsidP="001F3935">
      <w:pPr>
        <w:rPr>
          <w:rFonts w:ascii="Times New Roman" w:hAnsi="Times New Roman" w:cs="Times New Roman"/>
          <w:sz w:val="24"/>
          <w:szCs w:val="24"/>
        </w:rPr>
      </w:pPr>
    </w:p>
    <w:p w14:paraId="0A6D99AB" w14:textId="77777777" w:rsidR="001F3935" w:rsidRPr="00634FC6" w:rsidRDefault="001F3935" w:rsidP="001F3935">
      <w:pPr>
        <w:rPr>
          <w:rFonts w:ascii="Times New Roman" w:hAnsi="Times New Roman" w:cs="Times New Roman"/>
          <w:sz w:val="24"/>
          <w:szCs w:val="24"/>
        </w:rPr>
      </w:pPr>
    </w:p>
    <w:p w14:paraId="29ACFE41"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__________________________________</w:t>
      </w:r>
    </w:p>
    <w:p w14:paraId="6CA2C1E0" w14:textId="77777777" w:rsidR="001F3935" w:rsidRPr="00634FC6" w:rsidRDefault="001F3935" w:rsidP="001F3935">
      <w:pPr>
        <w:rPr>
          <w:rFonts w:ascii="Times New Roman" w:hAnsi="Times New Roman" w:cs="Times New Roman"/>
          <w:sz w:val="24"/>
          <w:szCs w:val="24"/>
        </w:rPr>
      </w:pPr>
      <w:r w:rsidRPr="00634FC6">
        <w:rPr>
          <w:rFonts w:ascii="Times New Roman" w:hAnsi="Times New Roman" w:cs="Times New Roman"/>
          <w:sz w:val="24"/>
          <w:szCs w:val="24"/>
        </w:rPr>
        <w:t>Notary Public</w:t>
      </w:r>
    </w:p>
    <w:p w14:paraId="763C0264" w14:textId="3122FA67" w:rsidR="001F3935" w:rsidRPr="008E18A5" w:rsidRDefault="001F3935" w:rsidP="008E18A5">
      <w:pPr>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r>
      <w:r w:rsidRPr="00634FC6">
        <w:rPr>
          <w:rFonts w:ascii="Times New Roman" w:hAnsi="Times New Roman" w:cs="Times New Roman"/>
          <w:sz w:val="24"/>
          <w:szCs w:val="24"/>
        </w:rPr>
        <w:tab/>
        <w:t>My commission expires:</w:t>
      </w:r>
    </w:p>
    <w:p w14:paraId="77349C4D" w14:textId="77777777" w:rsidR="001F3935" w:rsidRPr="00634FC6" w:rsidRDefault="001F3935" w:rsidP="001F3935">
      <w:pPr>
        <w:spacing w:after="120"/>
        <w:jc w:val="center"/>
        <w:rPr>
          <w:rFonts w:ascii="Times New Roman" w:hAnsi="Times New Roman" w:cs="Times New Roman"/>
          <w:b/>
          <w:bCs/>
          <w:sz w:val="24"/>
          <w:szCs w:val="24"/>
        </w:rPr>
      </w:pPr>
      <w:bookmarkStart w:id="0" w:name="_Hlk92042866"/>
      <w:r w:rsidRPr="00634FC6">
        <w:rPr>
          <w:rFonts w:ascii="Times New Roman" w:hAnsi="Times New Roman" w:cs="Times New Roman"/>
          <w:b/>
          <w:bCs/>
          <w:sz w:val="24"/>
          <w:szCs w:val="24"/>
        </w:rPr>
        <w:t>CERTIFICATE OF SERVICE</w:t>
      </w:r>
    </w:p>
    <w:p w14:paraId="385D3E6B" w14:textId="77777777" w:rsidR="001F3935" w:rsidRDefault="001F3935" w:rsidP="001F3935">
      <w:pPr>
        <w:spacing w:after="120"/>
        <w:rPr>
          <w:rFonts w:ascii="Times New Roman" w:hAnsi="Times New Roman" w:cs="Times New Roman"/>
          <w:sz w:val="24"/>
          <w:szCs w:val="24"/>
        </w:rPr>
      </w:pPr>
      <w:r w:rsidRPr="00634FC6">
        <w:rPr>
          <w:rFonts w:ascii="Times New Roman" w:hAnsi="Times New Roman" w:cs="Times New Roman"/>
          <w:b/>
          <w:bCs/>
          <w:sz w:val="24"/>
          <w:szCs w:val="24"/>
        </w:rPr>
        <w:tab/>
      </w:r>
      <w:r w:rsidRPr="00634FC6">
        <w:rPr>
          <w:rFonts w:ascii="Times New Roman" w:hAnsi="Times New Roman" w:cs="Times New Roman"/>
          <w:sz w:val="24"/>
          <w:szCs w:val="24"/>
        </w:rPr>
        <w:t>UNDER PENALTY OF PERJURY, I CERTIFY that a copy of the foregoing was provided by regular U.S. mail to C. Bryant Rogers</w:t>
      </w:r>
      <w:r>
        <w:rPr>
          <w:rFonts w:ascii="Times New Roman" w:hAnsi="Times New Roman" w:cs="Times New Roman"/>
          <w:sz w:val="24"/>
          <w:szCs w:val="24"/>
        </w:rPr>
        <w:t>, counsel of record for the Defendants</w:t>
      </w:r>
      <w:r w:rsidRPr="00634FC6">
        <w:rPr>
          <w:rFonts w:ascii="Times New Roman" w:hAnsi="Times New Roman" w:cs="Times New Roman"/>
          <w:sz w:val="24"/>
          <w:szCs w:val="24"/>
        </w:rPr>
        <w:t xml:space="preserve"> at Post Office Box 1447 in Santa Fe, New Mexico 87504-1447 this </w:t>
      </w:r>
      <w:r>
        <w:rPr>
          <w:rFonts w:ascii="Times New Roman" w:hAnsi="Times New Roman" w:cs="Times New Roman"/>
          <w:sz w:val="24"/>
          <w:szCs w:val="24"/>
        </w:rPr>
        <w:t>22</w:t>
      </w:r>
      <w:r>
        <w:rPr>
          <w:rFonts w:ascii="Times New Roman" w:hAnsi="Times New Roman" w:cs="Times New Roman"/>
          <w:sz w:val="24"/>
          <w:szCs w:val="24"/>
          <w:vertAlign w:val="superscript"/>
        </w:rPr>
        <w:t xml:space="preserve">nd </w:t>
      </w:r>
      <w:r w:rsidRPr="00634FC6">
        <w:rPr>
          <w:rFonts w:ascii="Times New Roman" w:hAnsi="Times New Roman" w:cs="Times New Roman"/>
          <w:sz w:val="24"/>
          <w:szCs w:val="24"/>
        </w:rPr>
        <w:t xml:space="preserve">day of </w:t>
      </w:r>
      <w:r>
        <w:rPr>
          <w:rFonts w:ascii="Times New Roman" w:hAnsi="Times New Roman" w:cs="Times New Roman"/>
          <w:sz w:val="24"/>
          <w:szCs w:val="24"/>
        </w:rPr>
        <w:t>August</w:t>
      </w:r>
      <w:r w:rsidRPr="00634FC6">
        <w:rPr>
          <w:rFonts w:ascii="Times New Roman" w:hAnsi="Times New Roman" w:cs="Times New Roman"/>
          <w:sz w:val="24"/>
          <w:szCs w:val="24"/>
        </w:rPr>
        <w:t>, 2022.</w:t>
      </w:r>
    </w:p>
    <w:p w14:paraId="6C305FDE" w14:textId="77777777" w:rsidR="001F3935" w:rsidRDefault="001F3935" w:rsidP="001F3935">
      <w:pPr>
        <w:spacing w:after="120"/>
        <w:rPr>
          <w:rFonts w:ascii="Times New Roman" w:hAnsi="Times New Roman" w:cs="Times New Roman"/>
          <w:sz w:val="24"/>
          <w:szCs w:val="24"/>
        </w:rPr>
      </w:pPr>
    </w:p>
    <w:p w14:paraId="16DAAF0D" w14:textId="77777777" w:rsidR="001F3935" w:rsidRDefault="001F3935" w:rsidP="001F3935">
      <w:pPr>
        <w:spacing w:after="120"/>
        <w:rPr>
          <w:rFonts w:ascii="Times New Roman" w:hAnsi="Times New Roman" w:cs="Times New Roman"/>
          <w:sz w:val="24"/>
          <w:szCs w:val="24"/>
        </w:rPr>
      </w:pPr>
    </w:p>
    <w:p w14:paraId="5E7A52AC" w14:textId="77777777" w:rsidR="001F3935" w:rsidRPr="00634FC6" w:rsidRDefault="001F3935" w:rsidP="001F3935">
      <w:pPr>
        <w:spacing w:after="120"/>
        <w:rPr>
          <w:rFonts w:ascii="Times New Roman" w:hAnsi="Times New Roman" w:cs="Times New Roman"/>
          <w:sz w:val="24"/>
          <w:szCs w:val="24"/>
        </w:rPr>
      </w:pPr>
    </w:p>
    <w:p w14:paraId="15C27F3B" w14:textId="77777777" w:rsidR="001F3935" w:rsidRPr="00634FC6" w:rsidRDefault="001F3935" w:rsidP="001F3935">
      <w:pPr>
        <w:spacing w:after="120"/>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________________________________</w:t>
      </w:r>
    </w:p>
    <w:p w14:paraId="6197BFBE" w14:textId="77777777" w:rsidR="001F3935" w:rsidRPr="00634FC6" w:rsidRDefault="001F3935" w:rsidP="001F3935">
      <w:pPr>
        <w:spacing w:after="120" w:line="240" w:lineRule="auto"/>
        <w:jc w:val="right"/>
        <w:rPr>
          <w:rFonts w:ascii="Times New Roman" w:hAnsi="Times New Roman" w:cs="Times New Roman"/>
          <w:i/>
          <w:iCs/>
          <w:sz w:val="24"/>
          <w:szCs w:val="24"/>
        </w:rPr>
      </w:pPr>
      <w:r>
        <w:rPr>
          <w:rFonts w:ascii="Times New Roman" w:hAnsi="Times New Roman" w:cs="Times New Roman"/>
          <w:sz w:val="24"/>
          <w:szCs w:val="24"/>
        </w:rPr>
        <w:t>Howard Brown</w:t>
      </w:r>
    </w:p>
    <w:p w14:paraId="15A3B68A" w14:textId="77777777" w:rsidR="001F3935" w:rsidRPr="00634FC6" w:rsidRDefault="001F3935" w:rsidP="001F3935">
      <w:pPr>
        <w:spacing w:after="120"/>
        <w:rPr>
          <w:rFonts w:ascii="Times New Roman" w:hAnsi="Times New Roman" w:cs="Times New Roman"/>
          <w:sz w:val="24"/>
          <w:szCs w:val="24"/>
        </w:rPr>
      </w:pPr>
    </w:p>
    <w:p w14:paraId="449E8FCB" w14:textId="77777777" w:rsidR="001F3935" w:rsidRPr="00634FC6" w:rsidRDefault="001F3935" w:rsidP="001F3935">
      <w:pPr>
        <w:spacing w:after="120"/>
        <w:rPr>
          <w:rFonts w:ascii="Times New Roman" w:hAnsi="Times New Roman" w:cs="Times New Roman"/>
          <w:sz w:val="24"/>
          <w:szCs w:val="24"/>
        </w:rPr>
      </w:pPr>
    </w:p>
    <w:p w14:paraId="11FF396A" w14:textId="77777777" w:rsidR="001F3935" w:rsidRPr="00634FC6" w:rsidRDefault="001F3935" w:rsidP="001F3935">
      <w:pPr>
        <w:spacing w:after="120"/>
        <w:rPr>
          <w:rFonts w:ascii="Times New Roman" w:hAnsi="Times New Roman" w:cs="Times New Roman"/>
          <w:sz w:val="24"/>
          <w:szCs w:val="24"/>
        </w:rPr>
      </w:pPr>
      <w:bookmarkStart w:id="1" w:name="_Hlk110435453"/>
      <w:r w:rsidRPr="00634FC6">
        <w:rPr>
          <w:rFonts w:ascii="Times New Roman" w:hAnsi="Times New Roman" w:cs="Times New Roman"/>
          <w:sz w:val="24"/>
          <w:szCs w:val="24"/>
        </w:rPr>
        <w:t xml:space="preserve">STATE OF </w:t>
      </w:r>
      <w:r>
        <w:rPr>
          <w:rFonts w:ascii="Times New Roman" w:hAnsi="Times New Roman" w:cs="Times New Roman"/>
          <w:sz w:val="24"/>
          <w:szCs w:val="24"/>
        </w:rPr>
        <w:t>LOUISIANA</w:t>
      </w:r>
    </w:p>
    <w:p w14:paraId="074A42BF" w14:textId="77777777" w:rsidR="001F3935" w:rsidRPr="00634FC6" w:rsidRDefault="001F3935" w:rsidP="001F3935">
      <w:pPr>
        <w:spacing w:after="120"/>
        <w:rPr>
          <w:rFonts w:ascii="Times New Roman" w:hAnsi="Times New Roman" w:cs="Times New Roman"/>
          <w:sz w:val="24"/>
          <w:szCs w:val="24"/>
        </w:rPr>
      </w:pPr>
      <w:r>
        <w:rPr>
          <w:rFonts w:ascii="Times New Roman" w:hAnsi="Times New Roman" w:cs="Times New Roman"/>
          <w:sz w:val="24"/>
          <w:szCs w:val="24"/>
        </w:rPr>
        <w:t>PARISH OF EAST BATON ROUGE</w:t>
      </w:r>
    </w:p>
    <w:bookmarkEnd w:id="1"/>
    <w:p w14:paraId="46EF4572" w14:textId="77777777" w:rsidR="001F3935" w:rsidRPr="00634FC6" w:rsidRDefault="001F3935" w:rsidP="001F3935">
      <w:pPr>
        <w:spacing w:after="120"/>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Howard Gary Brown who, being by me first duly sworn and identified in accordance with </w:t>
      </w:r>
      <w:r>
        <w:rPr>
          <w:rFonts w:ascii="Times New Roman" w:hAnsi="Times New Roman" w:cs="Times New Roman"/>
          <w:sz w:val="24"/>
          <w:szCs w:val="24"/>
        </w:rPr>
        <w:t>Utah</w:t>
      </w:r>
      <w:r w:rsidRPr="00634FC6">
        <w:rPr>
          <w:rFonts w:ascii="Times New Roman" w:hAnsi="Times New Roman" w:cs="Times New Roman"/>
          <w:sz w:val="24"/>
          <w:szCs w:val="24"/>
        </w:rPr>
        <w:t xml:space="preserve"> law, did execute the foregoing in my presence this </w:t>
      </w:r>
      <w:r>
        <w:rPr>
          <w:rFonts w:ascii="Times New Roman" w:hAnsi="Times New Roman" w:cs="Times New Roman"/>
          <w:sz w:val="24"/>
          <w:szCs w:val="24"/>
        </w:rPr>
        <w:t>22</w:t>
      </w:r>
      <w:r w:rsidRPr="00F67611">
        <w:rPr>
          <w:rFonts w:ascii="Times New Roman" w:hAnsi="Times New Roman" w:cs="Times New Roman"/>
          <w:sz w:val="24"/>
          <w:szCs w:val="24"/>
          <w:vertAlign w:val="superscript"/>
        </w:rPr>
        <w:t>nd</w:t>
      </w:r>
      <w:r>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Pr>
          <w:rFonts w:ascii="Times New Roman" w:hAnsi="Times New Roman" w:cs="Times New Roman"/>
          <w:sz w:val="24"/>
          <w:szCs w:val="24"/>
        </w:rPr>
        <w:t>August</w:t>
      </w:r>
      <w:r w:rsidRPr="00634FC6">
        <w:rPr>
          <w:rFonts w:ascii="Times New Roman" w:hAnsi="Times New Roman" w:cs="Times New Roman"/>
          <w:sz w:val="24"/>
          <w:szCs w:val="24"/>
        </w:rPr>
        <w:t>, 2022.</w:t>
      </w:r>
    </w:p>
    <w:p w14:paraId="6447F8C2" w14:textId="77777777" w:rsidR="001F3935" w:rsidRPr="00634FC6" w:rsidRDefault="001F3935" w:rsidP="001F3935">
      <w:pPr>
        <w:spacing w:after="120"/>
        <w:rPr>
          <w:rFonts w:ascii="Times New Roman" w:hAnsi="Times New Roman" w:cs="Times New Roman"/>
          <w:sz w:val="24"/>
          <w:szCs w:val="24"/>
        </w:rPr>
      </w:pPr>
      <w:r w:rsidRPr="00634FC6">
        <w:rPr>
          <w:rFonts w:ascii="Times New Roman" w:hAnsi="Times New Roman" w:cs="Times New Roman"/>
          <w:sz w:val="24"/>
          <w:szCs w:val="24"/>
        </w:rPr>
        <w:t>Notary public</w:t>
      </w:r>
    </w:p>
    <w:p w14:paraId="381F1C38" w14:textId="77777777" w:rsidR="001F3935" w:rsidRPr="00634FC6" w:rsidRDefault="001F3935" w:rsidP="001F3935">
      <w:pPr>
        <w:spacing w:after="120"/>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t xml:space="preserve">   My commission expires:</w:t>
      </w:r>
    </w:p>
    <w:bookmarkEnd w:id="0"/>
    <w:p w14:paraId="14C0ABA1" w14:textId="77777777" w:rsidR="0022717E" w:rsidRPr="0022717E" w:rsidRDefault="0022717E" w:rsidP="0022717E">
      <w:pPr>
        <w:pStyle w:val="ListParagraph"/>
        <w:spacing w:line="480" w:lineRule="auto"/>
        <w:ind w:left="360"/>
        <w:rPr>
          <w:rFonts w:ascii="Times New Roman" w:hAnsi="Times New Roman" w:cs="Times New Roman"/>
          <w:sz w:val="24"/>
          <w:szCs w:val="24"/>
        </w:rPr>
      </w:pPr>
    </w:p>
    <w:p w14:paraId="6225DA2F" w14:textId="046EBAF7" w:rsidR="00CB419C" w:rsidRPr="001F3935" w:rsidRDefault="00CB419C" w:rsidP="001F3935">
      <w:pPr>
        <w:pStyle w:val="ListParagraph"/>
        <w:spacing w:line="480" w:lineRule="auto"/>
        <w:ind w:left="360"/>
        <w:rPr>
          <w:rFonts w:ascii="Times New Roman" w:hAnsi="Times New Roman" w:cs="Times New Roman"/>
          <w:sz w:val="24"/>
          <w:szCs w:val="24"/>
        </w:rPr>
      </w:pPr>
    </w:p>
    <w:p w14:paraId="6AAC6118" w14:textId="77777777" w:rsidR="00D20096" w:rsidRDefault="00000000"/>
    <w:sectPr w:rsidR="00D2009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2207" w14:textId="77777777" w:rsidR="00FA08FF" w:rsidRDefault="00FA08FF" w:rsidP="003B5988">
      <w:pPr>
        <w:spacing w:after="0" w:line="240" w:lineRule="auto"/>
      </w:pPr>
      <w:r>
        <w:separator/>
      </w:r>
    </w:p>
  </w:endnote>
  <w:endnote w:type="continuationSeparator" w:id="0">
    <w:p w14:paraId="4E0378ED" w14:textId="77777777" w:rsidR="00FA08FF" w:rsidRDefault="00FA08FF" w:rsidP="003B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516820"/>
      <w:docPartObj>
        <w:docPartGallery w:val="Page Numbers (Bottom of Page)"/>
        <w:docPartUnique/>
      </w:docPartObj>
    </w:sdtPr>
    <w:sdtEndPr>
      <w:rPr>
        <w:color w:val="7F7F7F" w:themeColor="background1" w:themeShade="7F"/>
        <w:spacing w:val="60"/>
      </w:rPr>
    </w:sdtEndPr>
    <w:sdtContent>
      <w:p w14:paraId="46FCA511" w14:textId="21A999E7" w:rsidR="003B5988" w:rsidRDefault="003B598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B387A67" w14:textId="77777777" w:rsidR="003B5988" w:rsidRDefault="003B5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F3C79" w14:textId="77777777" w:rsidR="00FA08FF" w:rsidRDefault="00FA08FF" w:rsidP="003B5988">
      <w:pPr>
        <w:spacing w:after="0" w:line="240" w:lineRule="auto"/>
      </w:pPr>
      <w:r>
        <w:separator/>
      </w:r>
    </w:p>
  </w:footnote>
  <w:footnote w:type="continuationSeparator" w:id="0">
    <w:p w14:paraId="153D71BE" w14:textId="77777777" w:rsidR="00FA08FF" w:rsidRDefault="00FA08FF" w:rsidP="003B5988">
      <w:pPr>
        <w:spacing w:after="0" w:line="240" w:lineRule="auto"/>
      </w:pPr>
      <w:r>
        <w:continuationSeparator/>
      </w:r>
    </w:p>
  </w:footnote>
  <w:footnote w:id="1">
    <w:p w14:paraId="4E3B9133" w14:textId="0C7DD30E" w:rsidR="003B5988" w:rsidRDefault="003B5988">
      <w:pPr>
        <w:pStyle w:val="FootnoteText"/>
      </w:pPr>
      <w:r>
        <w:rPr>
          <w:rStyle w:val="FootnoteReference"/>
        </w:rPr>
        <w:footnoteRef/>
      </w:r>
      <w:r>
        <w:t xml:space="preserve"> </w:t>
      </w:r>
      <w:r w:rsidRPr="003B5988">
        <w:rPr>
          <w:rFonts w:ascii="Times New Roman" w:hAnsi="Times New Roman" w:cs="Times New Roman"/>
          <w:sz w:val="16"/>
          <w:szCs w:val="16"/>
        </w:rPr>
        <w:t>Choctaw Resort Development Enterprise, a commercial activity, is not delegated the same authority and power as originally held by the Mississippi Band of Choctaw Indians. (Treaty of 1830).</w:t>
      </w:r>
    </w:p>
  </w:footnote>
  <w:footnote w:id="2">
    <w:p w14:paraId="0D87B58B" w14:textId="1EB0F48C" w:rsidR="003B5988" w:rsidRPr="003B5988" w:rsidRDefault="003B5988">
      <w:pPr>
        <w:pStyle w:val="FootnoteText"/>
        <w:rPr>
          <w:rFonts w:ascii="Times New Roman" w:hAnsi="Times New Roman" w:cs="Times New Roman"/>
          <w:sz w:val="16"/>
          <w:szCs w:val="16"/>
        </w:rPr>
      </w:pPr>
      <w:r>
        <w:rPr>
          <w:rStyle w:val="FootnoteReference"/>
        </w:rPr>
        <w:footnoteRef/>
      </w:r>
      <w:r>
        <w:t xml:space="preserve"> </w:t>
      </w:r>
      <w:r w:rsidRPr="003B5988">
        <w:rPr>
          <w:rFonts w:ascii="Times New Roman" w:hAnsi="Times New Roman" w:cs="Times New Roman"/>
          <w:sz w:val="16"/>
          <w:szCs w:val="16"/>
        </w:rPr>
        <w:t>The nondelegation doctrine constrains Congress's ability to delegate its legislative authority to executive agencies. See, e.g., Mistretta v. United States, 488 U.S. 361, 371–72, 109 S.Ct. 647, 102 L.Ed.2d 714 (1989)</w:t>
      </w:r>
    </w:p>
  </w:footnote>
  <w:footnote w:id="3">
    <w:p w14:paraId="4FACB398" w14:textId="77777777" w:rsidR="003B5988" w:rsidRPr="003B5988" w:rsidRDefault="003B5988" w:rsidP="003B5988">
      <w:pPr>
        <w:pStyle w:val="FootnoteText"/>
        <w:rPr>
          <w:sz w:val="16"/>
          <w:szCs w:val="16"/>
        </w:rPr>
      </w:pPr>
      <w:r>
        <w:rPr>
          <w:rStyle w:val="FootnoteReference"/>
        </w:rPr>
        <w:footnoteRef/>
      </w:r>
      <w:r>
        <w:t xml:space="preserve"> </w:t>
      </w:r>
      <w:r w:rsidRPr="003B5988">
        <w:rPr>
          <w:sz w:val="16"/>
          <w:szCs w:val="16"/>
        </w:rPr>
        <w:t>The executive administrative function of the Mississippi Band of Choctaw Indians is a power that cannot be re-delegated, and the new commercial enterprise, Choctaw Resort Development Enterprise, is regulated under U.S.C. Title 25. § 71. Future treaties with Indian tribes</w:t>
      </w:r>
    </w:p>
    <w:p w14:paraId="7F6910D7" w14:textId="25198E3D" w:rsidR="003B5988" w:rsidRDefault="003B5988" w:rsidP="003B5988">
      <w:pPr>
        <w:pStyle w:val="FootnoteText"/>
      </w:pPr>
      <w:r w:rsidRPr="003B5988">
        <w:rPr>
          <w:sz w:val="16"/>
          <w:szCs w:val="16"/>
        </w:rPr>
        <w:t>No Indian nation or tribe within the territory of the United States shall be acknowledged or recognized as an independent nation, tribe, or power with whom the United States may contract by treaty;</w:t>
      </w:r>
      <w:r w:rsidR="00277DFB">
        <w:rPr>
          <w:sz w:val="16"/>
          <w:szCs w:val="16"/>
        </w:rPr>
        <w:t xml:space="preserve"> </w:t>
      </w:r>
      <w:r w:rsidR="00277DFB" w:rsidRPr="00277DFB">
        <w:rPr>
          <w:b/>
          <w:bCs/>
          <w:sz w:val="16"/>
          <w:szCs w:val="16"/>
        </w:rPr>
        <w:t>(Federal Indian Gaming Act)</w:t>
      </w:r>
    </w:p>
  </w:footnote>
  <w:footnote w:id="4">
    <w:p w14:paraId="79E988D1" w14:textId="76C10EA9" w:rsidR="00554E93" w:rsidRDefault="00554E93">
      <w:pPr>
        <w:pStyle w:val="FootnoteText"/>
      </w:pPr>
      <w:r>
        <w:rPr>
          <w:rStyle w:val="FootnoteReference"/>
        </w:rPr>
        <w:footnoteRef/>
      </w:r>
      <w:r>
        <w:t xml:space="preserve"> Exhibit A - </w:t>
      </w:r>
      <w:r w:rsidRPr="00554E93">
        <w:t>https://www.science.org/doi/10.1126/sciadv.abd3083.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34379"/>
    <w:multiLevelType w:val="hybridMultilevel"/>
    <w:tmpl w:val="C0E0EFD2"/>
    <w:lvl w:ilvl="0" w:tplc="09B60E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2D14AD8"/>
    <w:multiLevelType w:val="hybridMultilevel"/>
    <w:tmpl w:val="05421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320D10"/>
    <w:multiLevelType w:val="hybridMultilevel"/>
    <w:tmpl w:val="89809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648D3"/>
    <w:multiLevelType w:val="hybridMultilevel"/>
    <w:tmpl w:val="1A1049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197CE7"/>
    <w:multiLevelType w:val="hybridMultilevel"/>
    <w:tmpl w:val="E5847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2057F1"/>
    <w:multiLevelType w:val="hybridMultilevel"/>
    <w:tmpl w:val="E3586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36311B"/>
    <w:multiLevelType w:val="hybridMultilevel"/>
    <w:tmpl w:val="D0A86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940505">
    <w:abstractNumId w:val="0"/>
  </w:num>
  <w:num w:numId="2" w16cid:durableId="72482896">
    <w:abstractNumId w:val="3"/>
  </w:num>
  <w:num w:numId="3" w16cid:durableId="1037008098">
    <w:abstractNumId w:val="1"/>
  </w:num>
  <w:num w:numId="4" w16cid:durableId="747850151">
    <w:abstractNumId w:val="5"/>
  </w:num>
  <w:num w:numId="5" w16cid:durableId="678433895">
    <w:abstractNumId w:val="6"/>
  </w:num>
  <w:num w:numId="6" w16cid:durableId="1907257516">
    <w:abstractNumId w:val="4"/>
  </w:num>
  <w:num w:numId="7" w16cid:durableId="1788356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A62"/>
    <w:rsid w:val="000073EE"/>
    <w:rsid w:val="000346D0"/>
    <w:rsid w:val="0003788E"/>
    <w:rsid w:val="000450BB"/>
    <w:rsid w:val="00090E22"/>
    <w:rsid w:val="000954D5"/>
    <w:rsid w:val="0009557A"/>
    <w:rsid w:val="000C1D30"/>
    <w:rsid w:val="001067E8"/>
    <w:rsid w:val="00111A3B"/>
    <w:rsid w:val="001A5D9A"/>
    <w:rsid w:val="001C7C27"/>
    <w:rsid w:val="001D2567"/>
    <w:rsid w:val="001D2FF1"/>
    <w:rsid w:val="001F3935"/>
    <w:rsid w:val="0022717E"/>
    <w:rsid w:val="00277DFB"/>
    <w:rsid w:val="00280FB4"/>
    <w:rsid w:val="002A0638"/>
    <w:rsid w:val="002F795A"/>
    <w:rsid w:val="00381046"/>
    <w:rsid w:val="00382D96"/>
    <w:rsid w:val="003B5988"/>
    <w:rsid w:val="003D2597"/>
    <w:rsid w:val="00437C1F"/>
    <w:rsid w:val="00445258"/>
    <w:rsid w:val="00450B19"/>
    <w:rsid w:val="00554E93"/>
    <w:rsid w:val="00583E85"/>
    <w:rsid w:val="00586A0E"/>
    <w:rsid w:val="005C284F"/>
    <w:rsid w:val="005C4D66"/>
    <w:rsid w:val="00630112"/>
    <w:rsid w:val="006966CF"/>
    <w:rsid w:val="006A2180"/>
    <w:rsid w:val="006A513D"/>
    <w:rsid w:val="006B1E99"/>
    <w:rsid w:val="007658FD"/>
    <w:rsid w:val="00775F20"/>
    <w:rsid w:val="008A7ED4"/>
    <w:rsid w:val="008C2E9E"/>
    <w:rsid w:val="008C58E9"/>
    <w:rsid w:val="008D0C07"/>
    <w:rsid w:val="008D7B68"/>
    <w:rsid w:val="008E18A5"/>
    <w:rsid w:val="009768EF"/>
    <w:rsid w:val="009B2ED8"/>
    <w:rsid w:val="009E3B8C"/>
    <w:rsid w:val="009F54E9"/>
    <w:rsid w:val="00AC3010"/>
    <w:rsid w:val="00AC5194"/>
    <w:rsid w:val="00B13234"/>
    <w:rsid w:val="00B75F1C"/>
    <w:rsid w:val="00BC4761"/>
    <w:rsid w:val="00BD2EAA"/>
    <w:rsid w:val="00C10114"/>
    <w:rsid w:val="00C17A62"/>
    <w:rsid w:val="00CB419C"/>
    <w:rsid w:val="00E528E7"/>
    <w:rsid w:val="00F17B32"/>
    <w:rsid w:val="00F22F13"/>
    <w:rsid w:val="00F503E5"/>
    <w:rsid w:val="00F57820"/>
    <w:rsid w:val="00F95BC8"/>
    <w:rsid w:val="00FA08FF"/>
    <w:rsid w:val="00FD1601"/>
    <w:rsid w:val="00FF5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F8B3C"/>
  <w15:chartTrackingRefBased/>
  <w15:docId w15:val="{03F087C5-60DB-453C-AAE0-EA62E5C4B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1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A62"/>
    <w:pPr>
      <w:ind w:left="720"/>
      <w:contextualSpacing/>
    </w:pPr>
  </w:style>
  <w:style w:type="paragraph" w:styleId="FootnoteText">
    <w:name w:val="footnote text"/>
    <w:basedOn w:val="Normal"/>
    <w:link w:val="FootnoteTextChar"/>
    <w:uiPriority w:val="99"/>
    <w:semiHidden/>
    <w:unhideWhenUsed/>
    <w:rsid w:val="003B59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5988"/>
    <w:rPr>
      <w:sz w:val="20"/>
      <w:szCs w:val="20"/>
    </w:rPr>
  </w:style>
  <w:style w:type="character" w:styleId="FootnoteReference">
    <w:name w:val="footnote reference"/>
    <w:basedOn w:val="DefaultParagraphFont"/>
    <w:uiPriority w:val="99"/>
    <w:semiHidden/>
    <w:unhideWhenUsed/>
    <w:rsid w:val="003B5988"/>
    <w:rPr>
      <w:vertAlign w:val="superscript"/>
    </w:rPr>
  </w:style>
  <w:style w:type="paragraph" w:styleId="Header">
    <w:name w:val="header"/>
    <w:basedOn w:val="Normal"/>
    <w:link w:val="HeaderChar"/>
    <w:uiPriority w:val="99"/>
    <w:unhideWhenUsed/>
    <w:rsid w:val="003B59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5988"/>
  </w:style>
  <w:style w:type="paragraph" w:styleId="Footer">
    <w:name w:val="footer"/>
    <w:basedOn w:val="Normal"/>
    <w:link w:val="FooterChar"/>
    <w:uiPriority w:val="99"/>
    <w:unhideWhenUsed/>
    <w:rsid w:val="003B59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5988"/>
  </w:style>
  <w:style w:type="paragraph" w:styleId="EndnoteText">
    <w:name w:val="endnote text"/>
    <w:basedOn w:val="Normal"/>
    <w:link w:val="EndnoteTextChar"/>
    <w:uiPriority w:val="99"/>
    <w:semiHidden/>
    <w:unhideWhenUsed/>
    <w:rsid w:val="002A063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0638"/>
    <w:rPr>
      <w:sz w:val="20"/>
      <w:szCs w:val="20"/>
    </w:rPr>
  </w:style>
  <w:style w:type="character" w:styleId="EndnoteReference">
    <w:name w:val="endnote reference"/>
    <w:basedOn w:val="DefaultParagraphFont"/>
    <w:uiPriority w:val="99"/>
    <w:semiHidden/>
    <w:unhideWhenUsed/>
    <w:rsid w:val="002A06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8586-A8A4-4380-BC5D-19B4BAAE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1628</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7</cp:revision>
  <cp:lastPrinted>2022-08-13T20:26:00Z</cp:lastPrinted>
  <dcterms:created xsi:type="dcterms:W3CDTF">2022-09-12T23:26:00Z</dcterms:created>
  <dcterms:modified xsi:type="dcterms:W3CDTF">2022-09-13T00:48:00Z</dcterms:modified>
</cp:coreProperties>
</file>